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9D6B1" w14:textId="77777777" w:rsidR="00D75959" w:rsidRPr="00D82291" w:rsidRDefault="00D75959">
      <w:pPr>
        <w:spacing w:line="480" w:lineRule="atLeast"/>
        <w:rPr>
          <w:color w:val="FF0000"/>
          <w:sz w:val="20"/>
          <w:lang w:val="es-ES_tradnl"/>
        </w:rPr>
        <w:sectPr w:rsidR="00D75959" w:rsidRPr="00D82291" w:rsidSect="005F0736">
          <w:headerReference w:type="default" r:id="rId11"/>
          <w:footerReference w:type="default" r:id="rId12"/>
          <w:pgSz w:w="11906" w:h="16838" w:code="9"/>
          <w:pgMar w:top="2957" w:right="1134" w:bottom="1735" w:left="1701" w:header="568" w:footer="662" w:gutter="0"/>
          <w:cols w:space="720"/>
          <w:docGrid w:linePitch="360"/>
        </w:sectPr>
      </w:pPr>
    </w:p>
    <w:p w14:paraId="7CFE76BE" w14:textId="236759A5" w:rsidR="0032070E" w:rsidRPr="008C51C6" w:rsidRDefault="00C825BB" w:rsidP="0032070E">
      <w:pPr>
        <w:widowControl w:val="0"/>
        <w:spacing w:before="120" w:line="480" w:lineRule="auto"/>
        <w:rPr>
          <w:color w:val="000000" w:themeColor="text1"/>
          <w:sz w:val="20"/>
          <w:lang w:val="es-ES_tradnl"/>
        </w:rPr>
      </w:pPr>
      <w:r w:rsidRPr="008C51C6">
        <w:rPr>
          <w:color w:val="000000" w:themeColor="text1"/>
          <w:sz w:val="20"/>
          <w:lang w:val="es-ES_tradnl"/>
        </w:rPr>
        <w:lastRenderedPageBreak/>
        <w:t>Este informe presenta las conclusiones del análisis del documento «</w:t>
      </w:r>
      <w:r w:rsidR="008C51C6" w:rsidRPr="008C51C6">
        <w:rPr>
          <w:i/>
          <w:color w:val="000000" w:themeColor="text1"/>
          <w:sz w:val="20"/>
          <w:lang w:val="es-ES_tradnl"/>
        </w:rPr>
        <w:t>Convenio entre la Tesorería General de la Seguridad Social y la Administración de la Comunidad Autónoma de Euskadi sobre intercambio recíproco de información</w:t>
      </w:r>
      <w:r w:rsidR="001E665C" w:rsidRPr="008C51C6">
        <w:rPr>
          <w:i/>
          <w:color w:val="000000" w:themeColor="text1"/>
          <w:sz w:val="20"/>
          <w:lang w:val="es-ES_tradnl"/>
        </w:rPr>
        <w:t>»</w:t>
      </w:r>
      <w:r w:rsidRPr="008C51C6">
        <w:rPr>
          <w:color w:val="000000" w:themeColor="text1"/>
          <w:sz w:val="20"/>
          <w:lang w:val="es-ES_tradnl"/>
        </w:rPr>
        <w:t xml:space="preserve">, remitido por la Dirección de </w:t>
      </w:r>
      <w:r w:rsidR="004D2794" w:rsidRPr="008C51C6">
        <w:rPr>
          <w:color w:val="000000" w:themeColor="text1"/>
          <w:sz w:val="20"/>
          <w:lang w:val="es-ES_tradnl"/>
        </w:rPr>
        <w:t>Atención a la Ciudadanía y Servicios Digitales</w:t>
      </w:r>
      <w:r w:rsidRPr="008C51C6">
        <w:rPr>
          <w:color w:val="000000" w:themeColor="text1"/>
          <w:sz w:val="20"/>
          <w:lang w:val="es-ES_tradnl"/>
        </w:rPr>
        <w:t xml:space="preserve"> del Departamento de Gobernanza Pública y Autogobierno.</w:t>
      </w:r>
    </w:p>
    <w:p w14:paraId="15D0B007" w14:textId="2BCBC0C4" w:rsidR="008B2CBE" w:rsidRPr="00F215B4" w:rsidRDefault="00155979" w:rsidP="0032070E">
      <w:pPr>
        <w:widowControl w:val="0"/>
        <w:spacing w:before="120" w:line="480" w:lineRule="auto"/>
        <w:rPr>
          <w:rFonts w:ascii="Palatino Linotype" w:hAnsi="Palatino Linotype"/>
          <w:color w:val="000000" w:themeColor="text1"/>
          <w:sz w:val="20"/>
          <w:lang w:val="es-ES_tradnl"/>
        </w:rPr>
      </w:pPr>
      <w:r w:rsidRPr="00F215B4">
        <w:rPr>
          <w:rFonts w:ascii="Palatino Linotype" w:hAnsi="Palatino Linotype"/>
          <w:color w:val="000000" w:themeColor="text1"/>
          <w:sz w:val="20"/>
          <w:lang w:val="es-ES_tradnl"/>
        </w:rPr>
        <w:t xml:space="preserve">El </w:t>
      </w:r>
      <w:r w:rsidR="00E34BD0" w:rsidRPr="00F215B4">
        <w:rPr>
          <w:rFonts w:ascii="Palatino Linotype" w:hAnsi="Palatino Linotype"/>
          <w:color w:val="000000" w:themeColor="text1"/>
          <w:sz w:val="20"/>
          <w:lang w:val="es-ES_tradnl"/>
        </w:rPr>
        <w:t>Convenio</w:t>
      </w:r>
      <w:r w:rsidR="008B2CBE" w:rsidRPr="00F215B4">
        <w:rPr>
          <w:rFonts w:ascii="Palatino Linotype" w:hAnsi="Palatino Linotype"/>
          <w:color w:val="000000" w:themeColor="text1"/>
          <w:sz w:val="20"/>
          <w:lang w:val="es-ES_tradnl"/>
        </w:rPr>
        <w:t xml:space="preserve"> tiene por objeto establecer un </w:t>
      </w:r>
      <w:r w:rsidR="008B2CBE" w:rsidRPr="00F215B4">
        <w:rPr>
          <w:rFonts w:ascii="Palatino Linotype" w:hAnsi="Palatino Linotype"/>
          <w:b/>
          <w:color w:val="000000" w:themeColor="text1"/>
          <w:sz w:val="20"/>
          <w:lang w:val="es-ES_tradnl"/>
        </w:rPr>
        <w:t>marco general de colaboración</w:t>
      </w:r>
      <w:r w:rsidR="008B2CBE" w:rsidRPr="00F215B4">
        <w:rPr>
          <w:rFonts w:ascii="Palatino Linotype" w:hAnsi="Palatino Linotype"/>
          <w:color w:val="000000" w:themeColor="text1"/>
          <w:sz w:val="20"/>
          <w:lang w:val="es-ES_tradnl"/>
        </w:rPr>
        <w:t xml:space="preserve"> </w:t>
      </w:r>
      <w:r w:rsidR="00F215B4" w:rsidRPr="00F215B4">
        <w:rPr>
          <w:rFonts w:ascii="Palatino Linotype" w:hAnsi="Palatino Linotype"/>
          <w:color w:val="000000" w:themeColor="text1"/>
          <w:sz w:val="20"/>
          <w:lang w:val="es-ES_tradnl"/>
        </w:rPr>
        <w:t xml:space="preserve">entre la Tesorería General de la Seguridad Social y la Administración de la </w:t>
      </w:r>
      <w:r w:rsidR="008B2CBE" w:rsidRPr="00F215B4">
        <w:rPr>
          <w:rFonts w:ascii="Palatino Linotype" w:hAnsi="Palatino Linotype"/>
          <w:color w:val="000000" w:themeColor="text1"/>
          <w:sz w:val="20"/>
          <w:lang w:val="es-ES_tradnl"/>
        </w:rPr>
        <w:t>Comunidad Autónoma de</w:t>
      </w:r>
      <w:r w:rsidR="00F215B4" w:rsidRPr="00F215B4">
        <w:rPr>
          <w:rFonts w:ascii="Palatino Linotype" w:hAnsi="Palatino Linotype"/>
          <w:color w:val="000000" w:themeColor="text1"/>
          <w:sz w:val="20"/>
          <w:lang w:val="es-ES_tradnl"/>
        </w:rPr>
        <w:t xml:space="preserve"> Euskadi, en cuanto a las condiciones y procedimientos por los que se debe regir el intercambio de información</w:t>
      </w:r>
      <w:r w:rsidR="008B2CBE" w:rsidRPr="00F215B4">
        <w:rPr>
          <w:rFonts w:ascii="Palatino Linotype" w:hAnsi="Palatino Linotype"/>
          <w:color w:val="000000" w:themeColor="text1"/>
          <w:sz w:val="20"/>
          <w:lang w:val="es-ES_tradnl"/>
        </w:rPr>
        <w:t>.</w:t>
      </w:r>
    </w:p>
    <w:p w14:paraId="1EA6B92E" w14:textId="77777777" w:rsidR="00F215B4" w:rsidRPr="00F215B4" w:rsidRDefault="00F215B4" w:rsidP="00F215B4">
      <w:pPr>
        <w:widowControl w:val="0"/>
        <w:spacing w:before="60" w:line="480" w:lineRule="auto"/>
        <w:rPr>
          <w:rFonts w:ascii="Palatino Linotype" w:hAnsi="Palatino Linotype"/>
          <w:color w:val="000000" w:themeColor="text1"/>
          <w:sz w:val="20"/>
          <w:lang w:val="es-ES"/>
        </w:rPr>
      </w:pPr>
      <w:r w:rsidRPr="00F215B4">
        <w:rPr>
          <w:rFonts w:ascii="Palatino Linotype" w:hAnsi="Palatino Linotype"/>
          <w:color w:val="000000" w:themeColor="text1"/>
          <w:sz w:val="20"/>
          <w:lang w:val="es-ES_tradnl"/>
        </w:rPr>
        <w:t xml:space="preserve">La información objeto de este Convenio (que hará referencia a datos recogidos en el Fichero General de Afiliación) se facilitará mediante una doble formula: bien mediante el </w:t>
      </w:r>
      <w:r w:rsidRPr="001D7E4F">
        <w:rPr>
          <w:rFonts w:ascii="Palatino Linotype" w:hAnsi="Palatino Linotype"/>
          <w:b/>
          <w:color w:val="000000" w:themeColor="text1"/>
          <w:sz w:val="20"/>
          <w:lang w:val="es-ES_tradnl"/>
        </w:rPr>
        <w:t>acceso directo</w:t>
      </w:r>
      <w:r w:rsidRPr="00F215B4">
        <w:rPr>
          <w:rFonts w:ascii="Palatino Linotype" w:hAnsi="Palatino Linotype"/>
          <w:color w:val="000000" w:themeColor="text1"/>
          <w:sz w:val="20"/>
          <w:lang w:val="es-ES_tradnl"/>
        </w:rPr>
        <w:t xml:space="preserve"> a las bases de datos o bien mediante el </w:t>
      </w:r>
      <w:r w:rsidRPr="001D7E4F">
        <w:rPr>
          <w:rFonts w:ascii="Palatino Linotype" w:hAnsi="Palatino Linotype"/>
          <w:b/>
          <w:color w:val="000000" w:themeColor="text1"/>
          <w:sz w:val="20"/>
          <w:lang w:val="es-ES_tradnl"/>
        </w:rPr>
        <w:t>intercambio</w:t>
      </w:r>
      <w:r w:rsidRPr="00F215B4">
        <w:rPr>
          <w:rFonts w:ascii="Palatino Linotype" w:hAnsi="Palatino Linotype"/>
          <w:color w:val="000000" w:themeColor="text1"/>
          <w:sz w:val="20"/>
          <w:lang w:val="es-ES_tradnl"/>
        </w:rPr>
        <w:t xml:space="preserve"> recíproco de información, estableciéndose para ello las pertinentes conexiones informáticas. Con ello, ambas Administraciones pretenden </w:t>
      </w:r>
      <w:r w:rsidR="00571A85" w:rsidRPr="00F215B4">
        <w:rPr>
          <w:rFonts w:ascii="Palatino Linotype" w:hAnsi="Palatino Linotype"/>
          <w:color w:val="000000" w:themeColor="text1"/>
          <w:sz w:val="20"/>
          <w:lang w:val="es-ES"/>
        </w:rPr>
        <w:t>seguir mejorando la eficiencia de la gestión pública y facilitar la utilización conjunta de medios y servicios públicos</w:t>
      </w:r>
      <w:r w:rsidRPr="00F215B4">
        <w:rPr>
          <w:rFonts w:ascii="Palatino Linotype" w:hAnsi="Palatino Linotype"/>
          <w:color w:val="000000" w:themeColor="text1"/>
          <w:sz w:val="20"/>
          <w:lang w:val="es-ES"/>
        </w:rPr>
        <w:t>.</w:t>
      </w:r>
    </w:p>
    <w:p w14:paraId="3F2C0AD8" w14:textId="3B4863FC" w:rsidR="00571A85" w:rsidRDefault="00571A85" w:rsidP="00E0204B">
      <w:pPr>
        <w:widowControl w:val="0"/>
        <w:spacing w:before="60" w:line="480" w:lineRule="auto"/>
        <w:rPr>
          <w:rFonts w:ascii="Palatino Linotype" w:hAnsi="Palatino Linotype"/>
          <w:color w:val="000000" w:themeColor="text1"/>
          <w:sz w:val="20"/>
          <w:lang w:val="es-ES_tradnl"/>
        </w:rPr>
      </w:pPr>
      <w:r w:rsidRPr="001D7E4F">
        <w:rPr>
          <w:rFonts w:ascii="Palatino Linotype" w:hAnsi="Palatino Linotype"/>
          <w:color w:val="000000" w:themeColor="text1"/>
          <w:sz w:val="20"/>
          <w:lang w:val="es-ES_tradnl"/>
        </w:rPr>
        <w:t xml:space="preserve">En referencia </w:t>
      </w:r>
      <w:r w:rsidR="001D7E4F">
        <w:rPr>
          <w:rFonts w:ascii="Palatino Linotype" w:hAnsi="Palatino Linotype"/>
          <w:color w:val="000000" w:themeColor="text1"/>
          <w:sz w:val="20"/>
          <w:lang w:val="es-ES_tradnl"/>
        </w:rPr>
        <w:t xml:space="preserve">precisamente </w:t>
      </w:r>
      <w:r w:rsidRPr="001D7E4F">
        <w:rPr>
          <w:rFonts w:ascii="Palatino Linotype" w:hAnsi="Palatino Linotype"/>
          <w:color w:val="000000" w:themeColor="text1"/>
          <w:sz w:val="20"/>
          <w:lang w:val="es-ES_tradnl"/>
        </w:rPr>
        <w:t>a los datos a transmitir, que incluir</w:t>
      </w:r>
      <w:r w:rsidR="00F215B4" w:rsidRPr="001D7E4F">
        <w:rPr>
          <w:rFonts w:ascii="Palatino Linotype" w:hAnsi="Palatino Linotype"/>
          <w:color w:val="000000" w:themeColor="text1"/>
          <w:sz w:val="20"/>
          <w:lang w:val="es-ES_tradnl"/>
        </w:rPr>
        <w:t>án</w:t>
      </w:r>
      <w:r w:rsidRPr="001D7E4F">
        <w:rPr>
          <w:rFonts w:ascii="Palatino Linotype" w:hAnsi="Palatino Linotype"/>
          <w:color w:val="000000" w:themeColor="text1"/>
          <w:sz w:val="20"/>
          <w:lang w:val="es-ES_tradnl"/>
        </w:rPr>
        <w:t xml:space="preserve"> </w:t>
      </w:r>
      <w:r w:rsidRPr="001D7E4F">
        <w:rPr>
          <w:rFonts w:ascii="Palatino Linotype" w:hAnsi="Palatino Linotype"/>
          <w:b/>
          <w:color w:val="000000" w:themeColor="text1"/>
          <w:sz w:val="20"/>
          <w:lang w:val="es-ES_tradnl"/>
        </w:rPr>
        <w:t>datos personales</w:t>
      </w:r>
      <w:r w:rsidRPr="001D7E4F">
        <w:rPr>
          <w:rFonts w:ascii="Palatino Linotype" w:hAnsi="Palatino Linotype"/>
          <w:color w:val="000000" w:themeColor="text1"/>
          <w:sz w:val="20"/>
          <w:lang w:val="es-ES_tradnl"/>
        </w:rPr>
        <w:t>, el Convenio contempla el cumplimiento de</w:t>
      </w:r>
      <w:r w:rsidR="001D7E4F" w:rsidRPr="001D7E4F">
        <w:rPr>
          <w:rFonts w:ascii="Palatino Linotype" w:hAnsi="Palatino Linotype"/>
          <w:color w:val="000000" w:themeColor="text1"/>
          <w:sz w:val="20"/>
          <w:lang w:val="es-ES_tradnl"/>
        </w:rPr>
        <w:t xml:space="preserve"> lo establecido en el </w:t>
      </w:r>
      <w:r w:rsidRPr="001D7E4F">
        <w:rPr>
          <w:rFonts w:ascii="Palatino Linotype" w:hAnsi="Palatino Linotype"/>
          <w:color w:val="000000" w:themeColor="text1"/>
          <w:sz w:val="20"/>
          <w:lang w:val="es-ES_tradnl"/>
        </w:rPr>
        <w:t xml:space="preserve">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</w:t>
      </w:r>
      <w:r w:rsidR="00AC59AD" w:rsidRPr="001D7E4F">
        <w:rPr>
          <w:rFonts w:ascii="Palatino Linotype" w:hAnsi="Palatino Linotype"/>
          <w:color w:val="000000" w:themeColor="text1"/>
          <w:sz w:val="20"/>
          <w:lang w:val="es-ES_tradnl"/>
        </w:rPr>
        <w:t xml:space="preserve">así como </w:t>
      </w:r>
      <w:r w:rsidR="001D7E4F" w:rsidRPr="001D7E4F">
        <w:rPr>
          <w:rFonts w:ascii="Palatino Linotype" w:hAnsi="Palatino Linotype"/>
          <w:color w:val="000000" w:themeColor="text1"/>
          <w:sz w:val="20"/>
          <w:lang w:val="es-ES_tradnl"/>
        </w:rPr>
        <w:t xml:space="preserve">lo recogido en </w:t>
      </w:r>
      <w:r w:rsidRPr="001D7E4F">
        <w:rPr>
          <w:rFonts w:ascii="Palatino Linotype" w:hAnsi="Palatino Linotype"/>
          <w:color w:val="000000" w:themeColor="text1"/>
          <w:sz w:val="20"/>
          <w:lang w:val="es-ES_tradnl"/>
        </w:rPr>
        <w:t>la Ley Orgánica 3/2018, de 5 de diciembre, de Protección de Datos Personales y garantía de los derechos digitales.</w:t>
      </w:r>
      <w:r w:rsidR="00486020" w:rsidRPr="001D7E4F">
        <w:rPr>
          <w:rFonts w:ascii="Palatino Linotype" w:hAnsi="Palatino Linotype"/>
          <w:color w:val="000000" w:themeColor="text1"/>
          <w:sz w:val="20"/>
          <w:lang w:val="es-ES_tradnl"/>
        </w:rPr>
        <w:t xml:space="preserve"> Garantizando de esta forma, la seguridad y protección de los datos que se gestionen.</w:t>
      </w:r>
    </w:p>
    <w:p w14:paraId="2D422E66" w14:textId="60C3370E" w:rsidR="001D7E4F" w:rsidRPr="001D7E4F" w:rsidRDefault="001D7E4F" w:rsidP="00E0204B">
      <w:pPr>
        <w:widowControl w:val="0"/>
        <w:spacing w:before="60" w:line="480" w:lineRule="auto"/>
        <w:rPr>
          <w:rFonts w:ascii="Palatino Linotype" w:hAnsi="Palatino Linotype"/>
          <w:color w:val="000000" w:themeColor="text1"/>
          <w:sz w:val="20"/>
          <w:lang w:val="es-ES_tradnl"/>
        </w:rPr>
      </w:pPr>
      <w:r>
        <w:rPr>
          <w:rFonts w:ascii="Palatino Linotype" w:hAnsi="Palatino Linotype"/>
          <w:color w:val="000000" w:themeColor="text1"/>
          <w:sz w:val="20"/>
          <w:lang w:val="es-ES_tradnl"/>
        </w:rPr>
        <w:t>Asimismo, se indica que en lo que respecta a la forma y características de la autorización, asignación, funcionamiento y demás condiciones de acceso a los ficheros mencionados, se deberán ajustar a lo que se establece en el Esquema Nacional de Seguridad (</w:t>
      </w:r>
      <w:r w:rsidRPr="001D7E4F">
        <w:rPr>
          <w:rFonts w:ascii="Palatino Linotype" w:hAnsi="Palatino Linotype"/>
          <w:b/>
          <w:color w:val="000000" w:themeColor="text1"/>
          <w:sz w:val="20"/>
          <w:lang w:val="es-ES_tradnl"/>
        </w:rPr>
        <w:t>ENS</w:t>
      </w:r>
      <w:r>
        <w:rPr>
          <w:rFonts w:ascii="Palatino Linotype" w:hAnsi="Palatino Linotype"/>
          <w:color w:val="000000" w:themeColor="text1"/>
          <w:sz w:val="20"/>
          <w:lang w:val="es-ES_tradnl"/>
        </w:rPr>
        <w:t>), regulado por el Real Decreto 311/2022, de 3 de mayo.</w:t>
      </w:r>
      <w:r w:rsidR="00B02FE7">
        <w:rPr>
          <w:rFonts w:ascii="Palatino Linotype" w:hAnsi="Palatino Linotype"/>
          <w:color w:val="000000" w:themeColor="text1"/>
          <w:sz w:val="20"/>
          <w:lang w:val="es-ES_tradnl"/>
        </w:rPr>
        <w:t xml:space="preserve"> Garantizando de esta forma también el cumplimiento de la normativa vigente.</w:t>
      </w:r>
    </w:p>
    <w:p w14:paraId="032CC655" w14:textId="46975730" w:rsidR="000D0CB7" w:rsidRPr="000D0CB7" w:rsidRDefault="000D0CB7" w:rsidP="00E0204B">
      <w:pPr>
        <w:widowControl w:val="0"/>
        <w:spacing w:before="60" w:line="480" w:lineRule="auto"/>
        <w:rPr>
          <w:rFonts w:ascii="Palatino Linotype" w:hAnsi="Palatino Linotype"/>
          <w:color w:val="000000" w:themeColor="text1"/>
          <w:sz w:val="20"/>
          <w:lang w:val="es-ES_tradnl"/>
        </w:rPr>
      </w:pPr>
      <w:r w:rsidRPr="000D0CB7">
        <w:rPr>
          <w:rFonts w:ascii="Palatino Linotype" w:hAnsi="Palatino Linotype"/>
          <w:color w:val="000000" w:themeColor="text1"/>
          <w:sz w:val="20"/>
          <w:lang w:val="es-ES_tradnl"/>
        </w:rPr>
        <w:t xml:space="preserve">Con el fin de coordinar las actividades necesarias para la ejecución del Convenio, así como para llevar a cabo su </w:t>
      </w:r>
      <w:r w:rsidRPr="000D0CB7">
        <w:rPr>
          <w:rFonts w:ascii="Palatino Linotype" w:hAnsi="Palatino Linotype"/>
          <w:b/>
          <w:color w:val="000000" w:themeColor="text1"/>
          <w:sz w:val="20"/>
          <w:lang w:val="es-ES_tradnl"/>
        </w:rPr>
        <w:t>supervisión</w:t>
      </w:r>
      <w:r w:rsidRPr="000D0CB7">
        <w:rPr>
          <w:rFonts w:ascii="Palatino Linotype" w:hAnsi="Palatino Linotype"/>
          <w:color w:val="000000" w:themeColor="text1"/>
          <w:sz w:val="20"/>
          <w:lang w:val="es-ES_tradnl"/>
        </w:rPr>
        <w:t xml:space="preserve">, </w:t>
      </w:r>
      <w:r w:rsidRPr="000D0CB7">
        <w:rPr>
          <w:rFonts w:ascii="Palatino Linotype" w:hAnsi="Palatino Linotype"/>
          <w:b/>
          <w:color w:val="000000" w:themeColor="text1"/>
          <w:sz w:val="20"/>
          <w:lang w:val="es-ES_tradnl"/>
        </w:rPr>
        <w:t>seguimiento</w:t>
      </w:r>
      <w:r w:rsidRPr="000D0CB7">
        <w:rPr>
          <w:rFonts w:ascii="Palatino Linotype" w:hAnsi="Palatino Linotype"/>
          <w:color w:val="000000" w:themeColor="text1"/>
          <w:sz w:val="20"/>
          <w:lang w:val="es-ES_tradnl"/>
        </w:rPr>
        <w:t xml:space="preserve"> y </w:t>
      </w:r>
      <w:r w:rsidRPr="000D0CB7">
        <w:rPr>
          <w:rFonts w:ascii="Palatino Linotype" w:hAnsi="Palatino Linotype"/>
          <w:b/>
          <w:color w:val="000000" w:themeColor="text1"/>
          <w:sz w:val="20"/>
          <w:lang w:val="es-ES_tradnl"/>
        </w:rPr>
        <w:t>control</w:t>
      </w:r>
      <w:r w:rsidRPr="000D0CB7">
        <w:rPr>
          <w:rFonts w:ascii="Palatino Linotype" w:hAnsi="Palatino Linotype"/>
          <w:color w:val="000000" w:themeColor="text1"/>
          <w:sz w:val="20"/>
          <w:lang w:val="es-ES_tradnl"/>
        </w:rPr>
        <w:t xml:space="preserve">, el documento recibido indica que </w:t>
      </w:r>
      <w:r w:rsidRPr="000D0CB7">
        <w:rPr>
          <w:rFonts w:ascii="Book Antiqua" w:hAnsi="Book Antiqua"/>
          <w:i/>
          <w:color w:val="000000" w:themeColor="text1"/>
          <w:sz w:val="20"/>
          <w:lang w:val="es-ES_tradnl"/>
        </w:rPr>
        <w:t>«</w:t>
      </w:r>
      <w:r w:rsidRPr="000D0CB7">
        <w:rPr>
          <w:rFonts w:ascii="Palatino Linotype" w:hAnsi="Palatino Linotype"/>
          <w:i/>
          <w:color w:val="000000" w:themeColor="text1"/>
          <w:sz w:val="20"/>
          <w:lang w:val="es-ES_tradnl"/>
        </w:rPr>
        <w:t xml:space="preserve">se creará una </w:t>
      </w:r>
      <w:r w:rsidRPr="000D0CB7">
        <w:rPr>
          <w:rFonts w:ascii="Palatino Linotype" w:hAnsi="Palatino Linotype"/>
          <w:i/>
          <w:color w:val="000000" w:themeColor="text1"/>
          <w:sz w:val="20"/>
          <w:lang w:val="es-ES_tradnl"/>
        </w:rPr>
        <w:lastRenderedPageBreak/>
        <w:t>Comisión Mixta de Control y Seguimiento</w:t>
      </w:r>
      <w:r w:rsidRPr="000D0CB7">
        <w:rPr>
          <w:rFonts w:ascii="Book Antiqua" w:hAnsi="Book Antiqua"/>
          <w:i/>
          <w:color w:val="000000" w:themeColor="text1"/>
          <w:sz w:val="20"/>
          <w:lang w:val="es-ES_tradnl"/>
        </w:rPr>
        <w:t>»</w:t>
      </w:r>
      <w:r w:rsidRPr="000D0CB7">
        <w:rPr>
          <w:rFonts w:ascii="Book Antiqua" w:hAnsi="Book Antiqua"/>
          <w:color w:val="000000" w:themeColor="text1"/>
          <w:sz w:val="20"/>
          <w:lang w:val="es-ES_tradnl"/>
        </w:rPr>
        <w:t xml:space="preserve"> compuesta por represent</w:t>
      </w:r>
      <w:r>
        <w:rPr>
          <w:rFonts w:ascii="Book Antiqua" w:hAnsi="Book Antiqua"/>
          <w:color w:val="000000" w:themeColor="text1"/>
          <w:sz w:val="20"/>
          <w:lang w:val="es-ES_tradnl"/>
        </w:rPr>
        <w:t xml:space="preserve">antes de ambas Administraciones, y se detallan cuáles serán sus funciones, lo cual se considera adecuado para garantizar </w:t>
      </w:r>
      <w:r w:rsidR="00B02FE7">
        <w:rPr>
          <w:rFonts w:ascii="Book Antiqua" w:hAnsi="Book Antiqua"/>
          <w:color w:val="000000" w:themeColor="text1"/>
          <w:sz w:val="20"/>
          <w:lang w:val="es-ES_tradnl"/>
        </w:rPr>
        <w:t xml:space="preserve">ese </w:t>
      </w:r>
      <w:r>
        <w:rPr>
          <w:rFonts w:ascii="Book Antiqua" w:hAnsi="Book Antiqua"/>
          <w:color w:val="000000" w:themeColor="text1"/>
          <w:sz w:val="20"/>
          <w:lang w:val="es-ES_tradnl"/>
        </w:rPr>
        <w:t>control.</w:t>
      </w:r>
    </w:p>
    <w:p w14:paraId="7BA4F65D" w14:textId="6DEB6A0D" w:rsidR="00A575CE" w:rsidRPr="000D0CB7" w:rsidRDefault="00681613" w:rsidP="00E0204B">
      <w:pPr>
        <w:widowControl w:val="0"/>
        <w:spacing w:before="60" w:line="480" w:lineRule="auto"/>
        <w:rPr>
          <w:rFonts w:ascii="Palatino Linotype" w:hAnsi="Palatino Linotype"/>
          <w:color w:val="000000" w:themeColor="text1"/>
          <w:sz w:val="20"/>
          <w:lang w:val="es-ES_tradnl"/>
        </w:rPr>
      </w:pPr>
      <w:r w:rsidRPr="000D0CB7">
        <w:rPr>
          <w:rFonts w:ascii="Palatino Linotype" w:hAnsi="Palatino Linotype"/>
          <w:color w:val="000000" w:themeColor="text1"/>
          <w:sz w:val="20"/>
          <w:lang w:val="es-ES_tradnl"/>
        </w:rPr>
        <w:t>El Encargo</w:t>
      </w:r>
      <w:r w:rsidR="00E7615C" w:rsidRPr="000D0CB7">
        <w:rPr>
          <w:rFonts w:ascii="Palatino Linotype" w:hAnsi="Palatino Linotype"/>
          <w:color w:val="000000" w:themeColor="text1"/>
          <w:sz w:val="20"/>
          <w:lang w:val="es-ES_tradnl"/>
        </w:rPr>
        <w:t xml:space="preserve"> tendrá una </w:t>
      </w:r>
      <w:r w:rsidR="00E7615C" w:rsidRPr="000D0CB7">
        <w:rPr>
          <w:rFonts w:ascii="Palatino Linotype" w:hAnsi="Palatino Linotype"/>
          <w:b/>
          <w:color w:val="000000" w:themeColor="text1"/>
          <w:sz w:val="20"/>
          <w:lang w:val="es-ES_tradnl"/>
        </w:rPr>
        <w:t>vigencia</w:t>
      </w:r>
      <w:r w:rsidR="00E7615C" w:rsidRPr="000D0CB7">
        <w:rPr>
          <w:rFonts w:ascii="Palatino Linotype" w:hAnsi="Palatino Linotype"/>
          <w:color w:val="000000" w:themeColor="text1"/>
          <w:sz w:val="20"/>
          <w:lang w:val="es-ES_tradnl"/>
        </w:rPr>
        <w:t xml:space="preserve"> de </w:t>
      </w:r>
      <w:r w:rsidR="00E7615C" w:rsidRPr="000D0CB7">
        <w:rPr>
          <w:rFonts w:ascii="Palatino Linotype" w:hAnsi="Palatino Linotype"/>
          <w:i/>
          <w:color w:val="000000" w:themeColor="text1"/>
          <w:sz w:val="20"/>
          <w:lang w:val="es-ES_tradnl"/>
        </w:rPr>
        <w:t>«cuatro años»</w:t>
      </w:r>
      <w:r w:rsidR="00E7615C" w:rsidRPr="000D0CB7">
        <w:rPr>
          <w:rFonts w:ascii="Palatino Linotype" w:hAnsi="Palatino Linotype"/>
          <w:color w:val="000000" w:themeColor="text1"/>
          <w:sz w:val="20"/>
          <w:lang w:val="es-ES_tradnl"/>
        </w:rPr>
        <w:t xml:space="preserve"> desde la fecha de su inscripción en el Registro Electrónico Estatal de Órganos e Instrumentos de Cooperación</w:t>
      </w:r>
      <w:r w:rsidR="000D0CB7">
        <w:rPr>
          <w:rFonts w:ascii="Palatino Linotype" w:hAnsi="Palatino Linotype"/>
          <w:color w:val="000000" w:themeColor="text1"/>
          <w:sz w:val="20"/>
          <w:lang w:val="es-ES_tradnl"/>
        </w:rPr>
        <w:t xml:space="preserve">, y no conlleva </w:t>
      </w:r>
      <w:r w:rsidR="000D0CB7" w:rsidRPr="00B02FE7">
        <w:rPr>
          <w:rFonts w:ascii="Palatino Linotype" w:hAnsi="Palatino Linotype"/>
          <w:b/>
          <w:color w:val="000000" w:themeColor="text1"/>
          <w:sz w:val="20"/>
          <w:lang w:val="es-ES_tradnl"/>
        </w:rPr>
        <w:t>contraprestación económica</w:t>
      </w:r>
      <w:r w:rsidR="000D0CB7">
        <w:rPr>
          <w:rFonts w:ascii="Palatino Linotype" w:hAnsi="Palatino Linotype"/>
          <w:color w:val="000000" w:themeColor="text1"/>
          <w:sz w:val="20"/>
          <w:lang w:val="es-ES_tradnl"/>
        </w:rPr>
        <w:t xml:space="preserve"> por ninguna de las partes</w:t>
      </w:r>
      <w:r w:rsidR="00A575CE" w:rsidRPr="000D0CB7">
        <w:rPr>
          <w:rFonts w:ascii="Palatino Linotype" w:hAnsi="Palatino Linotype"/>
          <w:color w:val="000000" w:themeColor="text1"/>
          <w:sz w:val="20"/>
          <w:lang w:val="es-ES_tradnl"/>
        </w:rPr>
        <w:t>.</w:t>
      </w:r>
    </w:p>
    <w:p w14:paraId="6C78B188" w14:textId="77777777" w:rsidR="00E70007" w:rsidRDefault="00E70007" w:rsidP="00E70007">
      <w:pPr>
        <w:spacing w:before="0" w:line="480" w:lineRule="auto"/>
        <w:rPr>
          <w:rFonts w:ascii="Palatino Linotype" w:hAnsi="Palatino Linotype"/>
          <w:color w:val="000000" w:themeColor="text1"/>
          <w:sz w:val="20"/>
          <w:lang w:val="es-ES"/>
        </w:rPr>
      </w:pPr>
      <w:r w:rsidRPr="000D0CB7">
        <w:rPr>
          <w:rFonts w:ascii="Palatino Linotype" w:hAnsi="Palatino Linotype"/>
          <w:color w:val="000000" w:themeColor="text1"/>
          <w:sz w:val="20"/>
          <w:lang w:val="es-ES"/>
        </w:rPr>
        <w:t xml:space="preserve">En referencia a las </w:t>
      </w:r>
      <w:r w:rsidRPr="000D0CB7">
        <w:rPr>
          <w:rFonts w:ascii="Palatino Linotype" w:hAnsi="Palatino Linotype"/>
          <w:b/>
          <w:color w:val="000000" w:themeColor="text1"/>
          <w:sz w:val="20"/>
          <w:lang w:val="es-ES"/>
        </w:rPr>
        <w:t>especificaciones técnicas</w:t>
      </w:r>
      <w:r w:rsidRPr="000D0CB7">
        <w:rPr>
          <w:rFonts w:ascii="Palatino Linotype" w:hAnsi="Palatino Linotype"/>
          <w:color w:val="000000" w:themeColor="text1"/>
          <w:sz w:val="20"/>
          <w:lang w:val="es-ES"/>
        </w:rPr>
        <w:t xml:space="preserve"> de los sistemas de información que intervendrán en el intercambio de esa información, indicar que deberán</w:t>
      </w:r>
      <w:r w:rsidRPr="000D0CB7">
        <w:rPr>
          <w:rFonts w:ascii="Palatino Linotype" w:hAnsi="Palatino Linotype"/>
          <w:b/>
          <w:color w:val="000000" w:themeColor="text1"/>
          <w:sz w:val="20"/>
          <w:lang w:val="es-ES"/>
        </w:rPr>
        <w:t xml:space="preserve"> </w:t>
      </w:r>
      <w:r w:rsidRPr="000D0CB7">
        <w:rPr>
          <w:rFonts w:ascii="Palatino Linotype" w:hAnsi="Palatino Linotype"/>
          <w:color w:val="000000" w:themeColor="text1"/>
          <w:sz w:val="20"/>
          <w:lang w:val="es-ES"/>
        </w:rPr>
        <w:t xml:space="preserve">considerarse la arquitectura software y hardware que soporta el Gobierno Vasco, asegurando la gobernabilidad de los sistemas software existentes o que fuesen necesarios instalar/configurar, debiéndose cumplir la normativa vigente y que se detalla en los </w:t>
      </w:r>
      <w:r w:rsidRPr="000D0CB7">
        <w:rPr>
          <w:rFonts w:ascii="Palatino Linotype" w:hAnsi="Palatino Linotype"/>
          <w:b/>
          <w:color w:val="000000" w:themeColor="text1"/>
          <w:sz w:val="20"/>
          <w:lang w:val="es-ES"/>
        </w:rPr>
        <w:t>Estándares Tecnológicos</w:t>
      </w:r>
      <w:r w:rsidRPr="000D0CB7">
        <w:rPr>
          <w:rFonts w:ascii="Palatino Linotype" w:hAnsi="Palatino Linotype"/>
          <w:color w:val="000000" w:themeColor="text1"/>
          <w:sz w:val="20"/>
          <w:lang w:val="es-ES"/>
        </w:rPr>
        <w:t xml:space="preserve"> del Gobierno Vasco, los cuales se pueden consultar en la página web </w:t>
      </w:r>
      <w:r w:rsidRPr="000D0CB7">
        <w:rPr>
          <w:rFonts w:ascii="Palatino Linotype" w:hAnsi="Palatino Linotype"/>
          <w:i/>
          <w:color w:val="000000" w:themeColor="text1"/>
          <w:sz w:val="20"/>
          <w:lang w:val="es-ES"/>
        </w:rPr>
        <w:t>«www.euskadi.eus/</w:t>
      </w:r>
      <w:proofErr w:type="spellStart"/>
      <w:r w:rsidRPr="000D0CB7">
        <w:rPr>
          <w:rFonts w:ascii="Palatino Linotype" w:hAnsi="Palatino Linotype"/>
          <w:i/>
          <w:color w:val="000000" w:themeColor="text1"/>
          <w:sz w:val="20"/>
          <w:lang w:val="es-ES"/>
        </w:rPr>
        <w:t>informatica</w:t>
      </w:r>
      <w:proofErr w:type="spellEnd"/>
      <w:r w:rsidRPr="000D0CB7">
        <w:rPr>
          <w:rFonts w:ascii="Palatino Linotype" w:hAnsi="Palatino Linotype"/>
          <w:i/>
          <w:color w:val="000000" w:themeColor="text1"/>
          <w:sz w:val="20"/>
          <w:lang w:val="es-ES"/>
        </w:rPr>
        <w:t>»</w:t>
      </w:r>
      <w:r w:rsidRPr="000D0CB7">
        <w:rPr>
          <w:rFonts w:ascii="Palatino Linotype" w:hAnsi="Palatino Linotype"/>
          <w:color w:val="000000" w:themeColor="text1"/>
          <w:sz w:val="20"/>
          <w:lang w:val="es-ES"/>
        </w:rPr>
        <w:t xml:space="preserve"> (apartado Estándares Tecnológicos).</w:t>
      </w:r>
    </w:p>
    <w:p w14:paraId="203399DD" w14:textId="39EEC3F4" w:rsidR="000D0CB7" w:rsidRPr="00AA022F" w:rsidRDefault="000D0CB7" w:rsidP="000D0CB7">
      <w:pPr>
        <w:widowControl w:val="0"/>
        <w:spacing w:before="60" w:line="480" w:lineRule="auto"/>
        <w:rPr>
          <w:rFonts w:ascii="Palatino Linotype" w:hAnsi="Palatino Linotype"/>
          <w:color w:val="000000" w:themeColor="text1"/>
          <w:sz w:val="20"/>
          <w:lang w:val="es-ES_tradnl"/>
        </w:rPr>
      </w:pPr>
      <w:r w:rsidRPr="00AA022F">
        <w:rPr>
          <w:rFonts w:ascii="Palatino Linotype" w:hAnsi="Palatino Linotype"/>
          <w:color w:val="000000" w:themeColor="text1"/>
          <w:sz w:val="20"/>
          <w:lang w:val="es-ES_tradnl"/>
        </w:rPr>
        <w:t xml:space="preserve">Una vez analizado la documentación recibida, </w:t>
      </w:r>
      <w:r w:rsidR="00AA022F" w:rsidRPr="00AA022F">
        <w:rPr>
          <w:rFonts w:ascii="Palatino Linotype" w:hAnsi="Palatino Linotype"/>
          <w:color w:val="000000" w:themeColor="text1"/>
          <w:sz w:val="20"/>
          <w:lang w:val="es-ES_tradnl"/>
        </w:rPr>
        <w:t>señalar</w:t>
      </w:r>
      <w:r w:rsidRPr="00AA022F">
        <w:rPr>
          <w:rFonts w:ascii="Palatino Linotype" w:hAnsi="Palatino Linotype"/>
          <w:color w:val="000000" w:themeColor="text1"/>
          <w:sz w:val="20"/>
          <w:lang w:val="es-ES_tradnl"/>
        </w:rPr>
        <w:t xml:space="preserve"> lo siguiente:</w:t>
      </w:r>
    </w:p>
    <w:p w14:paraId="33885114" w14:textId="52D85701" w:rsidR="00AA022F" w:rsidRPr="00AA022F" w:rsidRDefault="000D0CB7" w:rsidP="000D0CB7">
      <w:pPr>
        <w:widowControl w:val="0"/>
        <w:spacing w:before="60" w:line="480" w:lineRule="auto"/>
        <w:rPr>
          <w:rFonts w:ascii="Book Antiqua" w:hAnsi="Book Antiqua"/>
          <w:color w:val="000000" w:themeColor="text1"/>
          <w:sz w:val="20"/>
          <w:lang w:val="es-ES_tradnl"/>
        </w:rPr>
      </w:pPr>
      <w:r w:rsidRPr="00AA022F">
        <w:rPr>
          <w:rFonts w:ascii="Palatino Linotype" w:hAnsi="Palatino Linotype"/>
          <w:color w:val="000000" w:themeColor="text1"/>
          <w:sz w:val="20"/>
          <w:lang w:val="es-ES_tradnl"/>
        </w:rPr>
        <w:t>E</w:t>
      </w:r>
      <w:r w:rsidR="00AA022F" w:rsidRPr="00AA022F">
        <w:rPr>
          <w:rFonts w:ascii="Palatino Linotype" w:hAnsi="Palatino Linotype"/>
          <w:color w:val="000000" w:themeColor="text1"/>
          <w:sz w:val="20"/>
          <w:lang w:val="es-ES_tradnl"/>
        </w:rPr>
        <w:t xml:space="preserve">n el punto Tercero se </w:t>
      </w:r>
      <w:r w:rsidR="00B02FE7">
        <w:rPr>
          <w:rFonts w:ascii="Palatino Linotype" w:hAnsi="Palatino Linotype"/>
          <w:color w:val="000000" w:themeColor="text1"/>
          <w:sz w:val="20"/>
          <w:lang w:val="es-ES_tradnl"/>
        </w:rPr>
        <w:t>hace la siguiente referencia</w:t>
      </w:r>
      <w:r w:rsidR="00AA022F" w:rsidRPr="00AA022F">
        <w:rPr>
          <w:rFonts w:ascii="Palatino Linotype" w:hAnsi="Palatino Linotype"/>
          <w:color w:val="000000" w:themeColor="text1"/>
          <w:sz w:val="20"/>
          <w:lang w:val="es-ES_tradnl"/>
        </w:rPr>
        <w:t xml:space="preserve"> </w:t>
      </w:r>
      <w:r w:rsidR="00AA022F" w:rsidRPr="00AA022F">
        <w:rPr>
          <w:rFonts w:ascii="Book Antiqua" w:hAnsi="Book Antiqua"/>
          <w:i/>
          <w:color w:val="000000" w:themeColor="text1"/>
          <w:sz w:val="20"/>
          <w:lang w:val="es-ES_tradnl"/>
        </w:rPr>
        <w:t>«[…] en la medida en que lo permite la normativa vigente y de acuerdo con los requisitos establecidos por el Esquema Nacional de Interoperabilidad (ENI), regulado por el Real Decreto 311/2022, de 3 de mayo, […]»</w:t>
      </w:r>
      <w:r w:rsidR="00AA022F" w:rsidRPr="00AA022F">
        <w:rPr>
          <w:rFonts w:ascii="Book Antiqua" w:hAnsi="Book Antiqua"/>
          <w:color w:val="000000" w:themeColor="text1"/>
          <w:sz w:val="20"/>
          <w:lang w:val="es-ES_tradnl"/>
        </w:rPr>
        <w:t>. A este respecto, señalar que el Esquema Nacional de Interoperabilidad (ENI) está regulado por el Real Decreto Real Decreto 4/2010, de 8 de enero. Por ello se recomienda revisar dicho apartado y, en caso de ser necesario, se subsane dicha referencia.</w:t>
      </w:r>
    </w:p>
    <w:p w14:paraId="45148A4B" w14:textId="05B80703" w:rsidR="00393EA2" w:rsidRPr="008C51C6" w:rsidRDefault="000A1025" w:rsidP="00C851C0">
      <w:pPr>
        <w:spacing w:before="0" w:line="480" w:lineRule="auto"/>
        <w:rPr>
          <w:rFonts w:ascii="Palatino Linotype" w:hAnsi="Palatino Linotype"/>
          <w:color w:val="000000" w:themeColor="text1"/>
          <w:sz w:val="20"/>
          <w:lang w:val="es-ES_tradnl"/>
        </w:rPr>
      </w:pPr>
      <w:r w:rsidRPr="008C51C6">
        <w:rPr>
          <w:rFonts w:ascii="Palatino Linotype" w:hAnsi="Palatino Linotype"/>
          <w:color w:val="000000" w:themeColor="text1"/>
          <w:sz w:val="20"/>
          <w:lang w:val="es-ES_tradnl"/>
        </w:rPr>
        <w:t xml:space="preserve">Por lo tanto, y una vez analizados todos los aspectos anteriormente </w:t>
      </w:r>
      <w:r w:rsidRPr="000D0CB7">
        <w:rPr>
          <w:rFonts w:ascii="Palatino Linotype" w:hAnsi="Palatino Linotype"/>
          <w:color w:val="000000" w:themeColor="text1"/>
          <w:sz w:val="20"/>
          <w:lang w:val="es-ES_tradnl"/>
        </w:rPr>
        <w:t xml:space="preserve">indicados, </w:t>
      </w:r>
      <w:r w:rsidR="00C851C0" w:rsidRPr="000D0CB7">
        <w:rPr>
          <w:rFonts w:ascii="Palatino Linotype" w:hAnsi="Palatino Linotype"/>
          <w:color w:val="000000" w:themeColor="text1"/>
          <w:sz w:val="20"/>
          <w:lang w:val="es-ES_tradnl"/>
        </w:rPr>
        <w:t>y a excepción de la salvedad indicada</w:t>
      </w:r>
      <w:r w:rsidRPr="000D0CB7">
        <w:rPr>
          <w:rFonts w:ascii="Palatino Linotype" w:hAnsi="Palatino Linotype"/>
          <w:color w:val="000000" w:themeColor="text1"/>
          <w:sz w:val="20"/>
          <w:lang w:val="es-ES_tradnl"/>
        </w:rPr>
        <w:t xml:space="preserve">, </w:t>
      </w:r>
      <w:r w:rsidRPr="000D0CB7">
        <w:rPr>
          <w:rFonts w:ascii="Palatino Linotype" w:hAnsi="Palatino Linotype"/>
          <w:b/>
          <w:color w:val="000000" w:themeColor="text1"/>
          <w:sz w:val="20"/>
          <w:lang w:val="es-ES_tradnl"/>
        </w:rPr>
        <w:t>no se contempla ningún inconveniente</w:t>
      </w:r>
      <w:r w:rsidRPr="000D0CB7">
        <w:rPr>
          <w:rFonts w:ascii="Palatino Linotype" w:hAnsi="Palatino Linotype"/>
          <w:color w:val="000000" w:themeColor="text1"/>
          <w:sz w:val="20"/>
          <w:lang w:val="es-ES_tradnl"/>
        </w:rPr>
        <w:t xml:space="preserve"> para continua</w:t>
      </w:r>
      <w:r w:rsidRPr="008C51C6">
        <w:rPr>
          <w:rFonts w:ascii="Palatino Linotype" w:hAnsi="Palatino Linotype"/>
          <w:color w:val="000000" w:themeColor="text1"/>
          <w:sz w:val="20"/>
          <w:lang w:val="es-ES_tradnl"/>
        </w:rPr>
        <w:t xml:space="preserve">r con la tramitación del </w:t>
      </w:r>
      <w:r w:rsidR="008C51C6" w:rsidRPr="008C51C6">
        <w:rPr>
          <w:rFonts w:ascii="Palatino Linotype" w:hAnsi="Palatino Linotype"/>
          <w:color w:val="000000" w:themeColor="text1"/>
          <w:sz w:val="20"/>
          <w:lang w:val="es-ES_tradnl"/>
        </w:rPr>
        <w:t>Convenio entre la Tesorería General de la Seguridad Social y la Administración de la Comunidad Autónoma de Euskadi sobre intercambio recíproco de información</w:t>
      </w:r>
      <w:r w:rsidR="009218F3" w:rsidRPr="008C51C6">
        <w:rPr>
          <w:rFonts w:ascii="Palatino Linotype" w:hAnsi="Palatino Linotype"/>
          <w:color w:val="000000" w:themeColor="text1"/>
          <w:sz w:val="20"/>
          <w:lang w:val="es-ES_tradnl"/>
        </w:rPr>
        <w:t>.</w:t>
      </w:r>
    </w:p>
    <w:p w14:paraId="0BCA471B" w14:textId="2A48E9B3" w:rsidR="00D75959" w:rsidRPr="00A575CE" w:rsidRDefault="00FB787D" w:rsidP="0028797D">
      <w:pPr>
        <w:spacing w:before="60" w:line="240" w:lineRule="atLeast"/>
        <w:ind w:left="238" w:hanging="238"/>
        <w:jc w:val="right"/>
        <w:rPr>
          <w:color w:val="000000" w:themeColor="text1"/>
          <w:sz w:val="20"/>
          <w:lang w:val="es-ES_tradnl"/>
        </w:rPr>
      </w:pPr>
      <w:r w:rsidRPr="00A575CE">
        <w:rPr>
          <w:color w:val="000000" w:themeColor="text1"/>
          <w:sz w:val="20"/>
          <w:lang w:val="es-ES_tradnl"/>
        </w:rPr>
        <w:t xml:space="preserve">En </w:t>
      </w:r>
      <w:r w:rsidR="00D75959" w:rsidRPr="00A575CE">
        <w:rPr>
          <w:color w:val="000000" w:themeColor="text1"/>
          <w:sz w:val="20"/>
          <w:lang w:val="es-ES_tradnl"/>
        </w:rPr>
        <w:t xml:space="preserve">Vitoria-Gasteiz, a </w:t>
      </w:r>
      <w:r w:rsidR="00F215B4">
        <w:rPr>
          <w:color w:val="000000" w:themeColor="text1"/>
          <w:sz w:val="20"/>
          <w:lang w:val="es-ES_tradnl"/>
        </w:rPr>
        <w:t>22</w:t>
      </w:r>
      <w:r w:rsidR="005D58EE" w:rsidRPr="00A575CE">
        <w:rPr>
          <w:color w:val="000000" w:themeColor="text1"/>
          <w:sz w:val="20"/>
          <w:lang w:val="es-ES_tradnl"/>
        </w:rPr>
        <w:t xml:space="preserve"> </w:t>
      </w:r>
      <w:r w:rsidR="00D75959" w:rsidRPr="00A575CE">
        <w:rPr>
          <w:color w:val="000000" w:themeColor="text1"/>
          <w:sz w:val="20"/>
          <w:lang w:val="es-ES_tradnl"/>
        </w:rPr>
        <w:t xml:space="preserve">de </w:t>
      </w:r>
      <w:r w:rsidR="008C51C6">
        <w:rPr>
          <w:color w:val="000000" w:themeColor="text1"/>
          <w:sz w:val="20"/>
          <w:lang w:val="es-ES_tradnl"/>
        </w:rPr>
        <w:t>diciembre</w:t>
      </w:r>
      <w:r w:rsidR="00241EFE" w:rsidRPr="00A575CE">
        <w:rPr>
          <w:color w:val="000000" w:themeColor="text1"/>
          <w:sz w:val="20"/>
          <w:lang w:val="es-ES_tradnl"/>
        </w:rPr>
        <w:t xml:space="preserve"> </w:t>
      </w:r>
      <w:r w:rsidR="00D75959" w:rsidRPr="00A575CE">
        <w:rPr>
          <w:color w:val="000000" w:themeColor="text1"/>
          <w:sz w:val="20"/>
          <w:lang w:val="es-ES_tradnl"/>
        </w:rPr>
        <w:t>de 20</w:t>
      </w:r>
      <w:r w:rsidR="00C76812" w:rsidRPr="00A575CE">
        <w:rPr>
          <w:color w:val="000000" w:themeColor="text1"/>
          <w:sz w:val="20"/>
          <w:lang w:val="es-ES_tradnl"/>
        </w:rPr>
        <w:t>2</w:t>
      </w:r>
      <w:r w:rsidR="00A575CE">
        <w:rPr>
          <w:color w:val="000000" w:themeColor="text1"/>
          <w:sz w:val="20"/>
          <w:lang w:val="es-ES_tradnl"/>
        </w:rPr>
        <w:t>2</w:t>
      </w:r>
    </w:p>
    <w:p w14:paraId="7FBDCD6D" w14:textId="36ECDE25" w:rsidR="00CB45DC" w:rsidRDefault="00CB45DC" w:rsidP="0028797D">
      <w:pPr>
        <w:spacing w:before="0" w:line="400" w:lineRule="atLeast"/>
        <w:ind w:left="14"/>
        <w:jc w:val="center"/>
        <w:rPr>
          <w:color w:val="000000" w:themeColor="text1"/>
          <w:sz w:val="20"/>
          <w:lang w:val="es-ES_tradnl"/>
        </w:rPr>
      </w:pPr>
    </w:p>
    <w:p w14:paraId="2F7ED1F3" w14:textId="11438B84" w:rsidR="00AD1D1D" w:rsidRPr="00A575CE" w:rsidRDefault="00356D2E" w:rsidP="0028797D">
      <w:pPr>
        <w:spacing w:before="0" w:line="400" w:lineRule="atLeast"/>
        <w:ind w:left="14"/>
        <w:jc w:val="center"/>
        <w:rPr>
          <w:color w:val="000000" w:themeColor="text1"/>
          <w:sz w:val="20"/>
          <w:lang w:val="es-ES_tradnl"/>
        </w:rPr>
      </w:pPr>
      <w:r w:rsidRPr="00A575CE">
        <w:rPr>
          <w:i/>
          <w:color w:val="000000" w:themeColor="text1"/>
          <w:sz w:val="20"/>
          <w:lang w:val="es-ES"/>
        </w:rPr>
        <w:t xml:space="preserve">[firmado electrónicamente en </w:t>
      </w:r>
      <w:proofErr w:type="spellStart"/>
      <w:r w:rsidRPr="00A575CE">
        <w:rPr>
          <w:i/>
          <w:color w:val="000000" w:themeColor="text1"/>
          <w:sz w:val="20"/>
          <w:lang w:val="es-ES"/>
        </w:rPr>
        <w:t>Tramitagune</w:t>
      </w:r>
      <w:proofErr w:type="spellEnd"/>
      <w:r w:rsidRPr="00A575CE">
        <w:rPr>
          <w:i/>
          <w:color w:val="000000" w:themeColor="text1"/>
          <w:sz w:val="20"/>
          <w:lang w:val="es-ES"/>
        </w:rPr>
        <w:t>]</w:t>
      </w:r>
    </w:p>
    <w:p w14:paraId="7778A046" w14:textId="77777777" w:rsidR="0032070E" w:rsidRPr="00A575CE" w:rsidRDefault="0032070E" w:rsidP="0028797D">
      <w:pPr>
        <w:pBdr>
          <w:bottom w:val="single" w:sz="1" w:space="0" w:color="000000"/>
        </w:pBdr>
        <w:spacing w:before="0" w:line="400" w:lineRule="atLeast"/>
        <w:ind w:left="3261" w:right="3259"/>
        <w:jc w:val="center"/>
        <w:rPr>
          <w:color w:val="000000" w:themeColor="text1"/>
          <w:sz w:val="20"/>
          <w:lang w:val="es-ES_tradnl"/>
        </w:rPr>
      </w:pPr>
    </w:p>
    <w:p w14:paraId="7DDF44C2" w14:textId="54A6AF49" w:rsidR="00D75959" w:rsidRPr="00A575CE" w:rsidRDefault="00D75959" w:rsidP="00227983">
      <w:pPr>
        <w:spacing w:before="0" w:line="240" w:lineRule="auto"/>
        <w:ind w:left="14"/>
        <w:jc w:val="center"/>
        <w:rPr>
          <w:color w:val="000000" w:themeColor="text1"/>
          <w:sz w:val="20"/>
          <w:lang w:val="es-ES_tradnl"/>
        </w:rPr>
      </w:pPr>
      <w:r w:rsidRPr="00A575CE">
        <w:rPr>
          <w:color w:val="000000" w:themeColor="text1"/>
          <w:sz w:val="20"/>
          <w:lang w:val="es-ES_tradnl"/>
        </w:rPr>
        <w:t xml:space="preserve">Fdo.: </w:t>
      </w:r>
      <w:r w:rsidR="0048380B">
        <w:rPr>
          <w:color w:val="000000" w:themeColor="text1"/>
          <w:sz w:val="20"/>
          <w:lang w:val="es-ES_tradnl"/>
        </w:rPr>
        <w:t>Oier Pérez Eguiluz</w:t>
      </w:r>
      <w:bookmarkStart w:id="0" w:name="_GoBack"/>
      <w:bookmarkEnd w:id="0"/>
    </w:p>
    <w:p w14:paraId="062BF409" w14:textId="3A3D838B" w:rsidR="00356D2E" w:rsidRPr="00A575CE" w:rsidRDefault="00227983" w:rsidP="00227983">
      <w:pPr>
        <w:spacing w:before="0" w:line="240" w:lineRule="auto"/>
        <w:ind w:left="14"/>
        <w:jc w:val="center"/>
        <w:rPr>
          <w:color w:val="000000" w:themeColor="text1"/>
          <w:sz w:val="20"/>
          <w:lang w:val="es-ES_tradnl"/>
        </w:rPr>
      </w:pPr>
      <w:r w:rsidRPr="00A575CE">
        <w:rPr>
          <w:color w:val="000000" w:themeColor="text1"/>
          <w:sz w:val="20"/>
          <w:lang w:val="es-ES_tradnl"/>
        </w:rPr>
        <w:t>Dirección de Tecnologías de la Información y la Comunicación</w:t>
      </w:r>
    </w:p>
    <w:sectPr w:rsidR="00356D2E" w:rsidRPr="00A575CE" w:rsidSect="00AA02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43" w:right="1134" w:bottom="993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6C33A" w14:textId="77777777" w:rsidR="00462301" w:rsidRDefault="00462301">
      <w:pPr>
        <w:spacing w:before="0" w:line="240" w:lineRule="auto"/>
      </w:pPr>
      <w:r>
        <w:separator/>
      </w:r>
    </w:p>
  </w:endnote>
  <w:endnote w:type="continuationSeparator" w:id="0">
    <w:p w14:paraId="505792B8" w14:textId="77777777" w:rsidR="00462301" w:rsidRDefault="0046230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C7813" w14:textId="6E492453" w:rsidR="00A81311" w:rsidRPr="00A81311" w:rsidRDefault="00A81311" w:rsidP="00A81311">
    <w:pPr>
      <w:pStyle w:val="Piedepgina"/>
      <w:tabs>
        <w:tab w:val="clear" w:pos="9071"/>
      </w:tabs>
      <w:spacing w:before="0" w:line="240" w:lineRule="auto"/>
      <w:jc w:val="center"/>
      <w:rPr>
        <w:rFonts w:ascii="Arial" w:hAnsi="Arial"/>
        <w:sz w:val="13"/>
        <w:lang w:val="es-ES"/>
      </w:rPr>
    </w:pPr>
    <w:r w:rsidRPr="00A81311">
      <w:rPr>
        <w:rFonts w:ascii="Arial" w:hAnsi="Arial"/>
        <w:sz w:val="13"/>
        <w:lang w:val="es-ES"/>
      </w:rPr>
      <w:t xml:space="preserve">Donostia - San </w:t>
    </w:r>
    <w:r w:rsidR="003817D2" w:rsidRPr="00A81311">
      <w:rPr>
        <w:rFonts w:ascii="Arial" w:hAnsi="Arial"/>
        <w:sz w:val="13"/>
        <w:lang w:val="es-ES"/>
      </w:rPr>
      <w:t>Sebastián</w:t>
    </w:r>
    <w:r w:rsidRPr="00A81311">
      <w:rPr>
        <w:rFonts w:ascii="Arial" w:hAnsi="Arial"/>
        <w:sz w:val="13"/>
        <w:lang w:val="es-ES"/>
      </w:rPr>
      <w:t>, 1 –  01010 VITORIA-GASTEIZ</w:t>
    </w:r>
  </w:p>
  <w:p w14:paraId="62776078" w14:textId="77777777" w:rsidR="00A81311" w:rsidRPr="00A81311" w:rsidRDefault="00A81311" w:rsidP="00A81311">
    <w:pPr>
      <w:pStyle w:val="Piedepgina"/>
      <w:tabs>
        <w:tab w:val="clear" w:pos="9071"/>
      </w:tabs>
      <w:spacing w:before="0" w:line="240" w:lineRule="auto"/>
      <w:jc w:val="center"/>
      <w:rPr>
        <w:rFonts w:ascii="Arial" w:hAnsi="Arial"/>
        <w:sz w:val="13"/>
        <w:lang w:val="es-ES"/>
      </w:rPr>
    </w:pPr>
    <w:proofErr w:type="spellStart"/>
    <w:r w:rsidRPr="00A81311">
      <w:rPr>
        <w:rFonts w:ascii="Arial" w:hAnsi="Arial"/>
        <w:sz w:val="13"/>
        <w:lang w:val="es-ES"/>
      </w:rPr>
      <w:t>Tef</w:t>
    </w:r>
    <w:proofErr w:type="spellEnd"/>
    <w:r w:rsidRPr="00A81311">
      <w:rPr>
        <w:rFonts w:ascii="Arial" w:hAnsi="Arial"/>
        <w:sz w:val="13"/>
        <w:lang w:val="es-ES"/>
      </w:rPr>
      <w:t xml:space="preserve">. 945 01 85 22 – Fax 945 01 87 06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64551" w14:textId="77777777" w:rsidR="0047034B" w:rsidRDefault="0047034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378D1" w14:textId="5D5DB8C1" w:rsidR="0047034B" w:rsidRPr="0050366A" w:rsidRDefault="0047034B">
    <w:pPr>
      <w:pStyle w:val="Piedepgina"/>
      <w:widowControl w:val="0"/>
      <w:tabs>
        <w:tab w:val="clear" w:pos="4819"/>
        <w:tab w:val="clear" w:pos="9071"/>
        <w:tab w:val="right" w:pos="9072"/>
      </w:tabs>
      <w:spacing w:before="0" w:line="240" w:lineRule="auto"/>
      <w:rPr>
        <w:color w:val="000000"/>
      </w:rPr>
    </w:pPr>
    <w:r w:rsidRPr="0050366A">
      <w:rPr>
        <w:i/>
        <w:color w:val="000000"/>
        <w:sz w:val="14"/>
        <w:lang w:val="es-ES_tradnl"/>
      </w:rPr>
      <w:t xml:space="preserve">Informe </w:t>
    </w:r>
    <w:r w:rsidR="00D82291" w:rsidRPr="00B02FE7">
      <w:rPr>
        <w:i/>
        <w:color w:val="000000" w:themeColor="text1"/>
        <w:sz w:val="14"/>
        <w:lang w:val="es-ES_tradnl"/>
      </w:rPr>
      <w:t>19</w:t>
    </w:r>
    <w:r w:rsidR="00B02FE7" w:rsidRPr="00B02FE7">
      <w:rPr>
        <w:i/>
        <w:color w:val="000000" w:themeColor="text1"/>
        <w:sz w:val="14"/>
        <w:lang w:val="es-ES_tradnl"/>
      </w:rPr>
      <w:t>94</w:t>
    </w:r>
    <w:r w:rsidRPr="0050366A">
      <w:rPr>
        <w:i/>
        <w:color w:val="000000"/>
        <w:sz w:val="14"/>
        <w:lang w:val="es-ES_tradnl"/>
      </w:rPr>
      <w:tab/>
      <w:t xml:space="preserve">Página </w:t>
    </w:r>
    <w:r w:rsidRPr="0050366A">
      <w:rPr>
        <w:i/>
        <w:color w:val="000000"/>
        <w:sz w:val="14"/>
        <w:lang w:val="es-ES_tradnl"/>
      </w:rPr>
      <w:fldChar w:fldCharType="begin"/>
    </w:r>
    <w:r w:rsidRPr="0050366A">
      <w:rPr>
        <w:i/>
        <w:color w:val="000000"/>
        <w:sz w:val="14"/>
        <w:lang w:val="es-ES_tradnl"/>
      </w:rPr>
      <w:instrText xml:space="preserve"> PAGE \*Arabic </w:instrText>
    </w:r>
    <w:r w:rsidRPr="0050366A">
      <w:rPr>
        <w:i/>
        <w:color w:val="000000"/>
        <w:sz w:val="14"/>
        <w:lang w:val="es-ES_tradnl"/>
      </w:rPr>
      <w:fldChar w:fldCharType="separate"/>
    </w:r>
    <w:r w:rsidR="00B02FE7">
      <w:rPr>
        <w:i/>
        <w:noProof/>
        <w:color w:val="000000"/>
        <w:sz w:val="14"/>
        <w:lang w:val="es-ES_tradnl"/>
      </w:rPr>
      <w:t>3</w:t>
    </w:r>
    <w:r w:rsidRPr="0050366A">
      <w:rPr>
        <w:i/>
        <w:color w:val="000000"/>
        <w:sz w:val="14"/>
        <w:lang w:val="es-ES_tradn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F4906" w14:textId="77777777" w:rsidR="0047034B" w:rsidRDefault="004703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56B62" w14:textId="77777777" w:rsidR="00462301" w:rsidRDefault="00462301">
      <w:pPr>
        <w:spacing w:before="0" w:line="240" w:lineRule="auto"/>
      </w:pPr>
      <w:r>
        <w:separator/>
      </w:r>
    </w:p>
  </w:footnote>
  <w:footnote w:type="continuationSeparator" w:id="0">
    <w:p w14:paraId="6EEC8CBF" w14:textId="77777777" w:rsidR="00462301" w:rsidRDefault="0046230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F6F94" w14:textId="006D6B7A" w:rsidR="0047034B" w:rsidRDefault="005B0F28" w:rsidP="0047034B">
    <w:pPr>
      <w:pStyle w:val="Encabezado"/>
      <w:widowControl w:val="0"/>
      <w:ind w:left="20" w:right="10"/>
      <w:jc w:val="center"/>
      <w:rPr>
        <w:lang w:val="es-ES_tradnl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F066C5" wp14:editId="66269C1E">
              <wp:simplePos x="0" y="0"/>
              <wp:positionH relativeFrom="page">
                <wp:posOffset>4238625</wp:posOffset>
              </wp:positionH>
              <wp:positionV relativeFrom="page">
                <wp:posOffset>895350</wp:posOffset>
              </wp:positionV>
              <wp:extent cx="1834515" cy="654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4515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4CF39" w14:textId="77777777" w:rsidR="0047034B" w:rsidRPr="000C5F10" w:rsidRDefault="00255323" w:rsidP="00255323">
                          <w:pPr>
                            <w:pStyle w:val="Ttulo2"/>
                            <w:spacing w:after="35"/>
                          </w:pPr>
                          <w:r>
                            <w:t>DEPARTAMENTO DE GOBERNANZA</w:t>
                          </w:r>
                          <w:r>
                            <w:br/>
                            <w:t>PÚBLICA Y AUTOGOBIERNO</w:t>
                          </w:r>
                        </w:p>
                        <w:p w14:paraId="5F7E8FD4" w14:textId="50BB954F" w:rsidR="0047034B" w:rsidRPr="00AB60D3" w:rsidRDefault="00AB60D3" w:rsidP="00AB60D3">
                          <w:pPr>
                            <w:pStyle w:val="Encabezado"/>
                            <w:spacing w:before="0" w:line="240" w:lineRule="auto"/>
                            <w:jc w:val="left"/>
                            <w:rPr>
                              <w:rFonts w:ascii="Arial" w:hAnsi="Arial" w:cs="Arial"/>
                              <w:i/>
                              <w:noProof/>
                              <w:color w:val="000000" w:themeColor="text1"/>
                              <w:sz w:val="14"/>
                              <w:szCs w:val="14"/>
                              <w:lang w:val="es-ES"/>
                            </w:rPr>
                          </w:pPr>
                          <w:r w:rsidRPr="00AB60D3">
                            <w:rPr>
                              <w:rFonts w:ascii="Arial" w:hAnsi="Arial"/>
                              <w:i/>
                              <w:color w:val="000000" w:themeColor="text1"/>
                              <w:sz w:val="13"/>
                              <w:lang w:val="es-ES"/>
                            </w:rPr>
                            <w:t>Dirección de Tecnologías de la</w:t>
                          </w:r>
                          <w:r>
                            <w:rPr>
                              <w:rFonts w:ascii="Arial" w:hAnsi="Arial"/>
                              <w:i/>
                              <w:color w:val="000000" w:themeColor="text1"/>
                              <w:sz w:val="13"/>
                              <w:lang w:val="es-ES"/>
                            </w:rPr>
                            <w:br/>
                          </w:r>
                          <w:r w:rsidRPr="00AB60D3">
                            <w:rPr>
                              <w:rFonts w:ascii="Arial" w:hAnsi="Arial"/>
                              <w:i/>
                              <w:color w:val="000000" w:themeColor="text1"/>
                              <w:sz w:val="13"/>
                              <w:lang w:val="es-ES"/>
                            </w:rPr>
                            <w:t>Información y la Comunicación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066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3.75pt;margin-top:70.5pt;width:144.45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bZ/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" o:allowincell="f" filled="f" stroked="f">
              <v:textbox>
                <w:txbxContent>
                  <w:p w14:paraId="1CB4CF39" w14:textId="77777777" w:rsidR="0047034B" w:rsidRPr="000C5F10" w:rsidRDefault="00255323" w:rsidP="00255323">
                    <w:pPr>
                      <w:pStyle w:val="Ttulo2"/>
                      <w:spacing w:after="35"/>
                    </w:pPr>
                    <w:r>
                      <w:t>DEPARTAMENTO DE GOBERNANZA</w:t>
                    </w:r>
                    <w:r>
                      <w:br/>
                      <w:t>PÚBLICA Y AUTOGOBIERNO</w:t>
                    </w:r>
                  </w:p>
                  <w:p w14:paraId="5F7E8FD4" w14:textId="50BB954F" w:rsidR="0047034B" w:rsidRPr="00AB60D3" w:rsidRDefault="00AB60D3" w:rsidP="00AB60D3">
                    <w:pPr>
                      <w:pStyle w:val="Encabezado"/>
                      <w:spacing w:before="0" w:line="240" w:lineRule="auto"/>
                      <w:jc w:val="left"/>
                      <w:rPr>
                        <w:rFonts w:ascii="Arial" w:hAnsi="Arial" w:cs="Arial"/>
                        <w:i/>
                        <w:noProof/>
                        <w:color w:val="000000" w:themeColor="text1"/>
                        <w:sz w:val="14"/>
                        <w:szCs w:val="14"/>
                        <w:lang w:val="es-ES"/>
                      </w:rPr>
                    </w:pPr>
                    <w:r w:rsidRPr="00AB60D3">
                      <w:rPr>
                        <w:rFonts w:ascii="Arial" w:hAnsi="Arial"/>
                        <w:i/>
                        <w:color w:val="000000" w:themeColor="text1"/>
                        <w:sz w:val="13"/>
                        <w:lang w:val="es-ES"/>
                      </w:rPr>
                      <w:t>Dirección de Tecnologías de la</w:t>
                    </w:r>
                    <w:r>
                      <w:rPr>
                        <w:rFonts w:ascii="Arial" w:hAnsi="Arial"/>
                        <w:i/>
                        <w:color w:val="000000" w:themeColor="text1"/>
                        <w:sz w:val="13"/>
                        <w:lang w:val="es-ES"/>
                      </w:rPr>
                      <w:br/>
                    </w:r>
                    <w:r w:rsidRPr="00AB60D3">
                      <w:rPr>
                        <w:rFonts w:ascii="Arial" w:hAnsi="Arial"/>
                        <w:i/>
                        <w:color w:val="000000" w:themeColor="text1"/>
                        <w:sz w:val="13"/>
                        <w:lang w:val="es-ES"/>
                      </w:rPr>
                      <w:t>Información y la Comunicación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A35009" wp14:editId="230AB511">
              <wp:simplePos x="0" y="0"/>
              <wp:positionH relativeFrom="page">
                <wp:posOffset>2114550</wp:posOffset>
              </wp:positionH>
              <wp:positionV relativeFrom="page">
                <wp:posOffset>895350</wp:posOffset>
              </wp:positionV>
              <wp:extent cx="1768475" cy="7454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B4B0F" w14:textId="77777777" w:rsidR="0047034B" w:rsidRPr="00A906D1" w:rsidRDefault="00255323" w:rsidP="00255323">
                          <w:pPr>
                            <w:pStyle w:val="Ttulo2"/>
                            <w:spacing w:after="35"/>
                            <w:rPr>
                              <w:lang w:val="eu-ES"/>
                            </w:rPr>
                          </w:pPr>
                          <w:r w:rsidRPr="00A906D1">
                            <w:rPr>
                              <w:lang w:val="eu-ES"/>
                            </w:rPr>
                            <w:t>GOBERNANTZA PUBLIKO</w:t>
                          </w:r>
                          <w:r w:rsidRPr="00A906D1">
                            <w:rPr>
                              <w:lang w:val="eu-ES"/>
                            </w:rPr>
                            <w:br/>
                            <w:t>ETA AUTOGOBERNU SAILA</w:t>
                          </w:r>
                        </w:p>
                        <w:p w14:paraId="3270B4FD" w14:textId="1060E762" w:rsidR="0047034B" w:rsidRPr="00A906D1" w:rsidRDefault="00AB60D3" w:rsidP="00AB60D3">
                          <w:pPr>
                            <w:spacing w:before="0" w:line="240" w:lineRule="auto"/>
                            <w:jc w:val="left"/>
                            <w:rPr>
                              <w:lang w:val="eu-ES"/>
                            </w:rPr>
                          </w:pPr>
                          <w:r w:rsidRPr="00AB60D3">
                            <w:rPr>
                              <w:rFonts w:ascii="Arial" w:hAnsi="Arial"/>
                              <w:i/>
                              <w:sz w:val="13"/>
                              <w:lang w:val="eu-ES"/>
                            </w:rPr>
                            <w:t>Informazioaren eta Komunikazioaren</w:t>
                          </w:r>
                          <w:r>
                            <w:rPr>
                              <w:rFonts w:ascii="Arial" w:hAnsi="Arial"/>
                              <w:i/>
                              <w:sz w:val="13"/>
                              <w:lang w:val="eu-ES"/>
                            </w:rPr>
                            <w:br/>
                          </w:r>
                          <w:r w:rsidRPr="00AB60D3">
                            <w:rPr>
                              <w:rFonts w:ascii="Arial" w:hAnsi="Arial"/>
                              <w:i/>
                              <w:sz w:val="13"/>
                              <w:lang w:val="eu-ES"/>
                            </w:rPr>
                            <w:t>Teknologien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A35009" id="Text Box 1" o:spid="_x0000_s1027" type="#_x0000_t202" style="position:absolute;left:0;text-align:left;margin-left:166.5pt;margin-top:70.5pt;width:139.25pt;height:58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bC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" o:allowincell="f" filled="f" stroked="f">
              <v:textbox>
                <w:txbxContent>
                  <w:p w14:paraId="353B4B0F" w14:textId="77777777" w:rsidR="0047034B" w:rsidRPr="00A906D1" w:rsidRDefault="00255323" w:rsidP="00255323">
                    <w:pPr>
                      <w:pStyle w:val="Ttulo2"/>
                      <w:spacing w:after="35"/>
                      <w:rPr>
                        <w:lang w:val="eu-ES"/>
                      </w:rPr>
                    </w:pPr>
                    <w:r w:rsidRPr="00A906D1">
                      <w:rPr>
                        <w:lang w:val="eu-ES"/>
                      </w:rPr>
                      <w:t>GOBERNANTZA PUBLIKO</w:t>
                    </w:r>
                    <w:r w:rsidRPr="00A906D1">
                      <w:rPr>
                        <w:lang w:val="eu-ES"/>
                      </w:rPr>
                      <w:br/>
                      <w:t>ETA AUTOGOBERNU SAILA</w:t>
                    </w:r>
                  </w:p>
                  <w:p w14:paraId="3270B4FD" w14:textId="1060E762" w:rsidR="0047034B" w:rsidRPr="00A906D1" w:rsidRDefault="00AB60D3" w:rsidP="00AB60D3">
                    <w:pPr>
                      <w:spacing w:before="0" w:line="240" w:lineRule="auto"/>
                      <w:jc w:val="left"/>
                      <w:rPr>
                        <w:lang w:val="eu-ES"/>
                      </w:rPr>
                    </w:pPr>
                    <w:r w:rsidRPr="00AB60D3">
                      <w:rPr>
                        <w:rFonts w:ascii="Arial" w:hAnsi="Arial"/>
                        <w:i/>
                        <w:sz w:val="13"/>
                        <w:lang w:val="eu-ES"/>
                      </w:rPr>
                      <w:t>Informazioaren eta Komunikazioaren</w:t>
                    </w:r>
                    <w:r>
                      <w:rPr>
                        <w:rFonts w:ascii="Arial" w:hAnsi="Arial"/>
                        <w:i/>
                        <w:sz w:val="13"/>
                        <w:lang w:val="eu-ES"/>
                      </w:rPr>
                      <w:br/>
                    </w:r>
                    <w:r w:rsidRPr="00AB60D3">
                      <w:rPr>
                        <w:rFonts w:ascii="Arial" w:hAnsi="Arial"/>
                        <w:i/>
                        <w:sz w:val="13"/>
                        <w:lang w:val="eu-ES"/>
                      </w:rPr>
                      <w:t>Teknologien Zuzendaritza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034B">
      <w:rPr>
        <w:rFonts w:ascii="Arial" w:hAnsi="Arial"/>
        <w:noProof/>
        <w:sz w:val="16"/>
      </w:rPr>
      <w:object w:dxaOrig="18028" w:dyaOrig="2235" w14:anchorId="7A423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5pt;height:36.7pt" fillcolor="window">
          <v:imagedata r:id="rId1" o:title=""/>
        </v:shape>
        <o:OLEObject Type="Embed" ProgID="MSPhotoEd.3" ShapeID="_x0000_i1025" DrawAspect="Content" ObjectID="_1733203802" r:id="rId2"/>
      </w:object>
    </w:r>
  </w:p>
  <w:p w14:paraId="52086E4F" w14:textId="77777777" w:rsidR="0047034B" w:rsidRDefault="0047034B">
    <w:pPr>
      <w:pStyle w:val="Encabezado"/>
      <w:widowControl w:val="0"/>
      <w:ind w:left="20" w:right="10"/>
      <w:rPr>
        <w:lang w:val="es-ES_tradnl"/>
      </w:rPr>
    </w:pPr>
  </w:p>
  <w:p w14:paraId="287CBC1F" w14:textId="77777777" w:rsidR="0047034B" w:rsidRDefault="0047034B">
    <w:pPr>
      <w:pStyle w:val="Encabezado"/>
      <w:widowControl w:val="0"/>
      <w:ind w:left="20" w:right="10"/>
      <w:rPr>
        <w:lang w:val="es-ES_tradnl"/>
      </w:rPr>
    </w:pPr>
  </w:p>
  <w:p w14:paraId="5449A88F" w14:textId="01BB47D9" w:rsidR="0047034B" w:rsidRPr="0050366A" w:rsidRDefault="0047034B">
    <w:pPr>
      <w:pStyle w:val="Encabezado"/>
      <w:widowControl w:val="0"/>
      <w:ind w:left="20" w:right="10"/>
      <w:jc w:val="center"/>
      <w:rPr>
        <w:rFonts w:ascii="Avant Garde" w:hAnsi="Avant Garde"/>
        <w:b/>
        <w:i/>
        <w:color w:val="000000"/>
        <w:sz w:val="36"/>
        <w:lang w:val="es-ES_tradnl"/>
      </w:rPr>
    </w:pPr>
    <w:r w:rsidRPr="0050366A">
      <w:rPr>
        <w:rFonts w:ascii="Avant Garde" w:hAnsi="Avant Garde"/>
        <w:b/>
        <w:i/>
        <w:color w:val="000000"/>
        <w:sz w:val="36"/>
        <w:lang w:val="es-ES_tradnl"/>
      </w:rPr>
      <w:t xml:space="preserve">INFORME Nº </w:t>
    </w:r>
    <w:r w:rsidR="00D82291" w:rsidRPr="00F215B4">
      <w:rPr>
        <w:rFonts w:ascii="Avant Garde" w:hAnsi="Avant Garde"/>
        <w:b/>
        <w:i/>
        <w:color w:val="000000" w:themeColor="text1"/>
        <w:sz w:val="36"/>
        <w:lang w:val="es-ES_tradnl"/>
      </w:rPr>
      <w:t>19</w:t>
    </w:r>
    <w:r w:rsidR="00F215B4" w:rsidRPr="00F215B4">
      <w:rPr>
        <w:rFonts w:ascii="Avant Garde" w:hAnsi="Avant Garde"/>
        <w:b/>
        <w:i/>
        <w:color w:val="000000" w:themeColor="text1"/>
        <w:sz w:val="36"/>
        <w:lang w:val="es-ES_tradnl"/>
      </w:rPr>
      <w:t>94</w:t>
    </w:r>
  </w:p>
  <w:p w14:paraId="28D451BD" w14:textId="7BE1E203" w:rsidR="005B5C77" w:rsidRPr="00B631D4" w:rsidRDefault="00B631D4" w:rsidP="003817D2">
    <w:pPr>
      <w:pStyle w:val="Encabezado"/>
      <w:widowControl w:val="0"/>
      <w:ind w:left="-284" w:right="-304"/>
      <w:jc w:val="center"/>
      <w:rPr>
        <w:rFonts w:ascii="Avant Garde" w:hAnsi="Avant Garde"/>
        <w:b/>
        <w:i/>
        <w:color w:val="000000" w:themeColor="text1"/>
        <w:sz w:val="36"/>
        <w:lang w:val="es-ES_tradnl"/>
      </w:rPr>
    </w:pPr>
    <w:r w:rsidRPr="00B631D4">
      <w:rPr>
        <w:rFonts w:ascii="Avant Garde" w:hAnsi="Avant Garde"/>
        <w:b/>
        <w:i/>
        <w:color w:val="000000" w:themeColor="text1"/>
        <w:sz w:val="36"/>
        <w:lang w:val="es-ES_tradnl"/>
      </w:rPr>
      <w:t xml:space="preserve">DEL </w:t>
    </w:r>
    <w:r w:rsidR="00D82291">
      <w:rPr>
        <w:rFonts w:ascii="Avant Garde" w:hAnsi="Avant Garde"/>
        <w:b/>
        <w:i/>
        <w:color w:val="000000" w:themeColor="text1"/>
        <w:sz w:val="36"/>
        <w:lang w:val="es-ES_tradnl"/>
      </w:rPr>
      <w:t xml:space="preserve">CONVENIO ENTRE LA </w:t>
    </w:r>
    <w:r w:rsidR="00747D58">
      <w:rPr>
        <w:rFonts w:ascii="Avant Garde" w:hAnsi="Avant Garde"/>
        <w:b/>
        <w:i/>
        <w:color w:val="000000" w:themeColor="text1"/>
        <w:sz w:val="36"/>
        <w:lang w:val="es-ES_tradnl"/>
      </w:rPr>
      <w:t xml:space="preserve">TESORERÍA GENERAL DE LA SEGURIDAD SOCIAL Y LA ADMINISTRACIÓN DE LA </w:t>
    </w:r>
    <w:r w:rsidR="00D82291">
      <w:rPr>
        <w:rFonts w:ascii="Avant Garde" w:hAnsi="Avant Garde"/>
        <w:b/>
        <w:i/>
        <w:color w:val="000000" w:themeColor="text1"/>
        <w:sz w:val="36"/>
        <w:lang w:val="es-ES_tradnl"/>
      </w:rPr>
      <w:t>COMUNIDAD AUTÓNOMA DE</w:t>
    </w:r>
    <w:r w:rsidR="00747D58">
      <w:rPr>
        <w:rFonts w:ascii="Avant Garde" w:hAnsi="Avant Garde"/>
        <w:b/>
        <w:i/>
        <w:color w:val="000000" w:themeColor="text1"/>
        <w:sz w:val="36"/>
        <w:lang w:val="es-ES_tradnl"/>
      </w:rPr>
      <w:t xml:space="preserve"> EUSKADI SOBRE INTERCAMBIO RECÍPROCO </w:t>
    </w:r>
    <w:r w:rsidR="00D82291">
      <w:rPr>
        <w:rFonts w:ascii="Avant Garde" w:hAnsi="Avant Garde"/>
        <w:b/>
        <w:i/>
        <w:color w:val="000000" w:themeColor="text1"/>
        <w:sz w:val="36"/>
        <w:lang w:val="es-ES_tradnl"/>
      </w:rPr>
      <w:t>DE INFORMACIÓN</w:t>
    </w:r>
  </w:p>
  <w:p w14:paraId="05C5CC00" w14:textId="065591E9" w:rsidR="003817D2" w:rsidRDefault="003817D2" w:rsidP="005B5C77">
    <w:pPr>
      <w:pStyle w:val="Encabezado"/>
      <w:widowControl w:val="0"/>
      <w:ind w:left="-284" w:right="-304"/>
      <w:jc w:val="center"/>
      <w:rPr>
        <w:rFonts w:ascii="Avant Garde" w:hAnsi="Avant Garde"/>
        <w:b/>
        <w:i/>
        <w:sz w:val="36"/>
        <w:lang w:val="es-ES_tradnl"/>
      </w:rPr>
    </w:pPr>
    <w:r w:rsidRPr="003817D2">
      <w:rPr>
        <w:rFonts w:ascii="Avant Garde" w:hAnsi="Avant Garde"/>
        <w:b/>
        <w:i/>
        <w:sz w:val="36"/>
        <w:lang w:val="es-ES_tradnl"/>
      </w:rPr>
      <w:t>POR PARTE DEL DEPARTAMENTO DE:</w:t>
    </w:r>
  </w:p>
  <w:p w14:paraId="745086B0" w14:textId="77777777" w:rsidR="005B5C77" w:rsidRPr="005B5C77" w:rsidRDefault="005B5C77" w:rsidP="005B5C77">
    <w:pPr>
      <w:pStyle w:val="Encabezado"/>
      <w:widowControl w:val="0"/>
      <w:ind w:left="-284" w:right="-304"/>
      <w:jc w:val="center"/>
      <w:rPr>
        <w:rFonts w:ascii="Avant Garde" w:hAnsi="Avant Garde"/>
        <w:b/>
        <w:i/>
        <w:sz w:val="36"/>
        <w:lang w:val="es-ES_tradnl"/>
      </w:rPr>
    </w:pPr>
    <w:r>
      <w:rPr>
        <w:rFonts w:ascii="Avant Garde" w:hAnsi="Avant Garde"/>
        <w:b/>
        <w:i/>
        <w:sz w:val="36"/>
        <w:lang w:val="es-ES_tradnl"/>
      </w:rPr>
      <w:t>GOBERNANZA PÚBLICA Y AUTOGOBIERNO</w:t>
    </w:r>
  </w:p>
  <w:p w14:paraId="504C15A2" w14:textId="6B3BE5CE" w:rsidR="0047034B" w:rsidRDefault="005B5C77" w:rsidP="005B5C77">
    <w:pPr>
      <w:pStyle w:val="Encabezado"/>
      <w:widowControl w:val="0"/>
      <w:tabs>
        <w:tab w:val="clear" w:pos="9071"/>
      </w:tabs>
      <w:ind w:left="-284" w:right="-304"/>
      <w:jc w:val="center"/>
      <w:rPr>
        <w:rFonts w:ascii="Avant Garde" w:hAnsi="Avant Garde"/>
        <w:b/>
        <w:i/>
        <w:sz w:val="36"/>
        <w:lang w:val="es-ES_tradnl"/>
      </w:rPr>
    </w:pPr>
    <w:r>
      <w:rPr>
        <w:rFonts w:ascii="Avant Garde" w:hAnsi="Avant Garde"/>
        <w:b/>
        <w:i/>
        <w:sz w:val="36"/>
        <w:lang w:val="es-ES_tradnl"/>
      </w:rPr>
      <w:t>20</w:t>
    </w:r>
    <w:r w:rsidR="00C76812">
      <w:rPr>
        <w:rFonts w:ascii="Avant Garde" w:hAnsi="Avant Garde"/>
        <w:b/>
        <w:i/>
        <w:sz w:val="36"/>
        <w:lang w:val="es-ES_tradnl"/>
      </w:rPr>
      <w:t>2</w:t>
    </w:r>
    <w:r w:rsidR="00D82291">
      <w:rPr>
        <w:rFonts w:ascii="Avant Garde" w:hAnsi="Avant Garde"/>
        <w:b/>
        <w:i/>
        <w:sz w:val="36"/>
        <w:lang w:val="es-ES_tradnl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27659" w14:textId="77777777" w:rsidR="0047034B" w:rsidRDefault="004703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BED4" w14:textId="77777777" w:rsidR="0047034B" w:rsidRDefault="0047034B">
    <w:pPr>
      <w:pStyle w:val="Encabezado"/>
      <w:widowControl w:val="0"/>
      <w:pBdr>
        <w:bottom w:val="single" w:sz="1" w:space="0" w:color="000000"/>
      </w:pBdr>
      <w:tabs>
        <w:tab w:val="clear" w:pos="4819"/>
        <w:tab w:val="clear" w:pos="9071"/>
        <w:tab w:val="right" w:pos="9072"/>
      </w:tabs>
      <w:spacing w:before="0" w:line="240" w:lineRule="auto"/>
      <w:rPr>
        <w:rFonts w:ascii="Avant Garde" w:hAnsi="Avant Garde"/>
        <w:sz w:val="14"/>
        <w:lang w:val="es-ES_tradnl"/>
      </w:rPr>
    </w:pPr>
  </w:p>
  <w:p w14:paraId="2FAB79C6" w14:textId="77777777" w:rsidR="0047034B" w:rsidRDefault="0047034B" w:rsidP="00DF714D">
    <w:pPr>
      <w:pStyle w:val="Encabezado"/>
      <w:widowControl w:val="0"/>
      <w:pBdr>
        <w:bottom w:val="single" w:sz="1" w:space="0" w:color="000000"/>
      </w:pBdr>
      <w:tabs>
        <w:tab w:val="clear" w:pos="4819"/>
        <w:tab w:val="clear" w:pos="9071"/>
      </w:tabs>
      <w:spacing w:before="0" w:line="240" w:lineRule="auto"/>
      <w:jc w:val="center"/>
      <w:rPr>
        <w:rFonts w:ascii="Avant Garde" w:hAnsi="Avant Garde"/>
        <w:sz w:val="14"/>
        <w:lang w:val="es-ES_tradnl"/>
      </w:rPr>
    </w:pPr>
    <w:r>
      <w:rPr>
        <w:noProof/>
      </w:rPr>
      <w:object w:dxaOrig="11549" w:dyaOrig="1410" w14:anchorId="58B116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98.35pt;height:23.75pt" fillcolor="window">
          <v:imagedata r:id="rId1" o:title=""/>
        </v:shape>
        <o:OLEObject Type="Embed" ProgID="MSPhotoEd.3" ShapeID="_x0000_i1026" DrawAspect="Content" ObjectID="_1733203803" r:id="rId2"/>
      </w:object>
    </w:r>
  </w:p>
  <w:p w14:paraId="606B6197" w14:textId="77777777" w:rsidR="0047034B" w:rsidRDefault="0047034B">
    <w:pPr>
      <w:pStyle w:val="Encabezado"/>
      <w:widowControl w:val="0"/>
      <w:pBdr>
        <w:bottom w:val="single" w:sz="1" w:space="0" w:color="000000"/>
      </w:pBdr>
      <w:tabs>
        <w:tab w:val="clear" w:pos="4819"/>
        <w:tab w:val="clear" w:pos="9071"/>
        <w:tab w:val="right" w:pos="9072"/>
      </w:tabs>
      <w:spacing w:before="0" w:line="240" w:lineRule="auto"/>
      <w:rPr>
        <w:rFonts w:ascii="Avant Garde" w:hAnsi="Avant Garde"/>
        <w:sz w:val="14"/>
        <w:lang w:val="es-ES_tradnl"/>
      </w:rPr>
    </w:pPr>
  </w:p>
  <w:p w14:paraId="128BD4B2" w14:textId="3DDA7842" w:rsidR="0047034B" w:rsidRPr="00424435" w:rsidRDefault="00D82291">
    <w:pPr>
      <w:pStyle w:val="Encabezado"/>
      <w:widowControl w:val="0"/>
      <w:pBdr>
        <w:bottom w:val="single" w:sz="1" w:space="0" w:color="000000"/>
      </w:pBdr>
      <w:tabs>
        <w:tab w:val="clear" w:pos="4819"/>
        <w:tab w:val="clear" w:pos="9071"/>
        <w:tab w:val="right" w:pos="9072"/>
      </w:tabs>
      <w:spacing w:before="0" w:line="240" w:lineRule="auto"/>
      <w:rPr>
        <w:rFonts w:ascii="Avant Garde" w:hAnsi="Avant Garde"/>
        <w:color w:val="000000" w:themeColor="text1"/>
        <w:sz w:val="14"/>
        <w:lang w:val="es-ES_tradnl"/>
      </w:rPr>
    </w:pPr>
    <w:r>
      <w:rPr>
        <w:rFonts w:ascii="Avant Garde" w:hAnsi="Avant Garde"/>
        <w:color w:val="000000" w:themeColor="text1"/>
        <w:sz w:val="14"/>
        <w:lang w:val="es-ES_tradnl"/>
      </w:rPr>
      <w:t xml:space="preserve">Convenio: </w:t>
    </w:r>
    <w:r w:rsidR="00747D58">
      <w:rPr>
        <w:rFonts w:ascii="Avant Garde" w:hAnsi="Avant Garde"/>
        <w:color w:val="000000" w:themeColor="text1"/>
        <w:sz w:val="14"/>
        <w:lang w:val="es-ES_tradnl"/>
      </w:rPr>
      <w:t>Tesorería General de la Seguridad Social</w:t>
    </w:r>
    <w:r w:rsidR="00A906D1" w:rsidRPr="001E665C">
      <w:rPr>
        <w:rFonts w:ascii="Avant Garde" w:hAnsi="Avant Garde"/>
        <w:color w:val="000000" w:themeColor="text1"/>
        <w:sz w:val="14"/>
        <w:lang w:val="es-ES_tradnl"/>
      </w:rPr>
      <w:tab/>
    </w:r>
    <w:r w:rsidR="00A906D1" w:rsidRPr="00424435">
      <w:rPr>
        <w:rFonts w:ascii="Avant Garde" w:hAnsi="Avant Garde"/>
        <w:i/>
        <w:color w:val="000000" w:themeColor="text1"/>
        <w:sz w:val="14"/>
        <w:lang w:val="es-ES_tradnl"/>
      </w:rPr>
      <w:t>Gobernanza Pública y Autogobierno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1147A" w14:textId="77777777" w:rsidR="0047034B" w:rsidRDefault="004703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Bulet-zerrend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7959D1"/>
    <w:multiLevelType w:val="hybridMultilevel"/>
    <w:tmpl w:val="D2942DE8"/>
    <w:lvl w:ilvl="0" w:tplc="042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2CC"/>
    <w:rsid w:val="00001516"/>
    <w:rsid w:val="00036AB9"/>
    <w:rsid w:val="00037CCC"/>
    <w:rsid w:val="00052856"/>
    <w:rsid w:val="00054818"/>
    <w:rsid w:val="000656E7"/>
    <w:rsid w:val="00075F82"/>
    <w:rsid w:val="00086B78"/>
    <w:rsid w:val="00086EFF"/>
    <w:rsid w:val="00087000"/>
    <w:rsid w:val="00092822"/>
    <w:rsid w:val="0009335A"/>
    <w:rsid w:val="000A1025"/>
    <w:rsid w:val="000B5F3D"/>
    <w:rsid w:val="000D0CB7"/>
    <w:rsid w:val="000D4D37"/>
    <w:rsid w:val="000E12B3"/>
    <w:rsid w:val="000E1CCE"/>
    <w:rsid w:val="000F4340"/>
    <w:rsid w:val="00110ADC"/>
    <w:rsid w:val="00131A62"/>
    <w:rsid w:val="0013568B"/>
    <w:rsid w:val="00137306"/>
    <w:rsid w:val="00155979"/>
    <w:rsid w:val="00163731"/>
    <w:rsid w:val="0016506F"/>
    <w:rsid w:val="0016768E"/>
    <w:rsid w:val="00176CAB"/>
    <w:rsid w:val="00177C6C"/>
    <w:rsid w:val="00196C63"/>
    <w:rsid w:val="001A40E3"/>
    <w:rsid w:val="001A41B2"/>
    <w:rsid w:val="001A50C6"/>
    <w:rsid w:val="001A6C6C"/>
    <w:rsid w:val="001B53D8"/>
    <w:rsid w:val="001C0805"/>
    <w:rsid w:val="001C158B"/>
    <w:rsid w:val="001C758C"/>
    <w:rsid w:val="001D65E0"/>
    <w:rsid w:val="001D7B4E"/>
    <w:rsid w:val="001D7E4F"/>
    <w:rsid w:val="001E0D56"/>
    <w:rsid w:val="001E3187"/>
    <w:rsid w:val="001E665C"/>
    <w:rsid w:val="001F5FE6"/>
    <w:rsid w:val="00201F2D"/>
    <w:rsid w:val="002056B3"/>
    <w:rsid w:val="00205CB7"/>
    <w:rsid w:val="00207B85"/>
    <w:rsid w:val="00227983"/>
    <w:rsid w:val="00241EFE"/>
    <w:rsid w:val="00250008"/>
    <w:rsid w:val="002502C6"/>
    <w:rsid w:val="00254315"/>
    <w:rsid w:val="00255323"/>
    <w:rsid w:val="002605ED"/>
    <w:rsid w:val="002610A5"/>
    <w:rsid w:val="00283F8F"/>
    <w:rsid w:val="0028797D"/>
    <w:rsid w:val="002B0369"/>
    <w:rsid w:val="002F6178"/>
    <w:rsid w:val="002F6A47"/>
    <w:rsid w:val="00300AE3"/>
    <w:rsid w:val="003039E2"/>
    <w:rsid w:val="003070D1"/>
    <w:rsid w:val="00313D55"/>
    <w:rsid w:val="0032070E"/>
    <w:rsid w:val="00333042"/>
    <w:rsid w:val="003377A0"/>
    <w:rsid w:val="00344369"/>
    <w:rsid w:val="003522CC"/>
    <w:rsid w:val="00355E6D"/>
    <w:rsid w:val="00356D2E"/>
    <w:rsid w:val="0035723B"/>
    <w:rsid w:val="00360E59"/>
    <w:rsid w:val="00362095"/>
    <w:rsid w:val="0036788A"/>
    <w:rsid w:val="00374339"/>
    <w:rsid w:val="00377350"/>
    <w:rsid w:val="003817D2"/>
    <w:rsid w:val="0038244E"/>
    <w:rsid w:val="003846FB"/>
    <w:rsid w:val="00385BA9"/>
    <w:rsid w:val="00393EA2"/>
    <w:rsid w:val="003A3245"/>
    <w:rsid w:val="003A4634"/>
    <w:rsid w:val="003B5F32"/>
    <w:rsid w:val="003C253C"/>
    <w:rsid w:val="003C2903"/>
    <w:rsid w:val="003D46CC"/>
    <w:rsid w:val="003E4107"/>
    <w:rsid w:val="003F03D6"/>
    <w:rsid w:val="00406BB8"/>
    <w:rsid w:val="0042424F"/>
    <w:rsid w:val="00424435"/>
    <w:rsid w:val="00427BC9"/>
    <w:rsid w:val="00440B6F"/>
    <w:rsid w:val="0044147B"/>
    <w:rsid w:val="00445BE8"/>
    <w:rsid w:val="00462301"/>
    <w:rsid w:val="0047034B"/>
    <w:rsid w:val="004742B3"/>
    <w:rsid w:val="004747D0"/>
    <w:rsid w:val="00476087"/>
    <w:rsid w:val="0048133F"/>
    <w:rsid w:val="0048380B"/>
    <w:rsid w:val="00486020"/>
    <w:rsid w:val="004A4791"/>
    <w:rsid w:val="004A6229"/>
    <w:rsid w:val="004B0B28"/>
    <w:rsid w:val="004B17FD"/>
    <w:rsid w:val="004B242E"/>
    <w:rsid w:val="004C2F35"/>
    <w:rsid w:val="004C3F6B"/>
    <w:rsid w:val="004D0EC3"/>
    <w:rsid w:val="004D1A7B"/>
    <w:rsid w:val="004D2794"/>
    <w:rsid w:val="004E2D2D"/>
    <w:rsid w:val="004E7C68"/>
    <w:rsid w:val="00500169"/>
    <w:rsid w:val="0050366A"/>
    <w:rsid w:val="005240B4"/>
    <w:rsid w:val="0053360A"/>
    <w:rsid w:val="005337A6"/>
    <w:rsid w:val="00537762"/>
    <w:rsid w:val="00571A85"/>
    <w:rsid w:val="0057270E"/>
    <w:rsid w:val="005813BA"/>
    <w:rsid w:val="00583DC6"/>
    <w:rsid w:val="005929BC"/>
    <w:rsid w:val="005B0F28"/>
    <w:rsid w:val="005B57F2"/>
    <w:rsid w:val="005B5A4E"/>
    <w:rsid w:val="005B5C77"/>
    <w:rsid w:val="005B7ED1"/>
    <w:rsid w:val="005C3491"/>
    <w:rsid w:val="005C3F07"/>
    <w:rsid w:val="005D119C"/>
    <w:rsid w:val="005D58EE"/>
    <w:rsid w:val="005E5657"/>
    <w:rsid w:val="005F0736"/>
    <w:rsid w:val="005F3154"/>
    <w:rsid w:val="005F73CE"/>
    <w:rsid w:val="00611A92"/>
    <w:rsid w:val="006124E8"/>
    <w:rsid w:val="00624C34"/>
    <w:rsid w:val="00625405"/>
    <w:rsid w:val="00644D96"/>
    <w:rsid w:val="00653447"/>
    <w:rsid w:val="00654079"/>
    <w:rsid w:val="006560F7"/>
    <w:rsid w:val="00657657"/>
    <w:rsid w:val="00663841"/>
    <w:rsid w:val="00664611"/>
    <w:rsid w:val="00673261"/>
    <w:rsid w:val="006806EB"/>
    <w:rsid w:val="00681613"/>
    <w:rsid w:val="006A5585"/>
    <w:rsid w:val="006B00C9"/>
    <w:rsid w:val="006B4C9B"/>
    <w:rsid w:val="006B7F1C"/>
    <w:rsid w:val="006E0FF9"/>
    <w:rsid w:val="006F2E17"/>
    <w:rsid w:val="00705086"/>
    <w:rsid w:val="00712CC7"/>
    <w:rsid w:val="00723A96"/>
    <w:rsid w:val="00747D58"/>
    <w:rsid w:val="00754266"/>
    <w:rsid w:val="00755C55"/>
    <w:rsid w:val="00772010"/>
    <w:rsid w:val="007870A9"/>
    <w:rsid w:val="007A6346"/>
    <w:rsid w:val="007B118D"/>
    <w:rsid w:val="007B3AAD"/>
    <w:rsid w:val="007B7D2B"/>
    <w:rsid w:val="007D1E5B"/>
    <w:rsid w:val="007D3072"/>
    <w:rsid w:val="007D69A1"/>
    <w:rsid w:val="007D7B1A"/>
    <w:rsid w:val="007E123D"/>
    <w:rsid w:val="007E5168"/>
    <w:rsid w:val="007E6B9A"/>
    <w:rsid w:val="007E7DE2"/>
    <w:rsid w:val="007F042D"/>
    <w:rsid w:val="0081252E"/>
    <w:rsid w:val="00827703"/>
    <w:rsid w:val="00834D97"/>
    <w:rsid w:val="00841BD2"/>
    <w:rsid w:val="00842E99"/>
    <w:rsid w:val="00866A8B"/>
    <w:rsid w:val="00873EBB"/>
    <w:rsid w:val="008761A6"/>
    <w:rsid w:val="00894785"/>
    <w:rsid w:val="00895DC3"/>
    <w:rsid w:val="008960EE"/>
    <w:rsid w:val="00897166"/>
    <w:rsid w:val="008B2CBE"/>
    <w:rsid w:val="008C51C6"/>
    <w:rsid w:val="008E6A7A"/>
    <w:rsid w:val="008E735E"/>
    <w:rsid w:val="00900699"/>
    <w:rsid w:val="00906A7B"/>
    <w:rsid w:val="0091564B"/>
    <w:rsid w:val="009218F3"/>
    <w:rsid w:val="00930122"/>
    <w:rsid w:val="0093189D"/>
    <w:rsid w:val="0095132D"/>
    <w:rsid w:val="00952CD7"/>
    <w:rsid w:val="00952F8E"/>
    <w:rsid w:val="009662AD"/>
    <w:rsid w:val="009714F0"/>
    <w:rsid w:val="009717FE"/>
    <w:rsid w:val="00982B5D"/>
    <w:rsid w:val="0098747F"/>
    <w:rsid w:val="009A2956"/>
    <w:rsid w:val="009B19DD"/>
    <w:rsid w:val="009B1BF0"/>
    <w:rsid w:val="009C040E"/>
    <w:rsid w:val="009C293F"/>
    <w:rsid w:val="009C3485"/>
    <w:rsid w:val="009D0566"/>
    <w:rsid w:val="009D3350"/>
    <w:rsid w:val="009E7255"/>
    <w:rsid w:val="009E72FB"/>
    <w:rsid w:val="009F0F5D"/>
    <w:rsid w:val="00A014A1"/>
    <w:rsid w:val="00A055D1"/>
    <w:rsid w:val="00A13E39"/>
    <w:rsid w:val="00A21A16"/>
    <w:rsid w:val="00A30A21"/>
    <w:rsid w:val="00A31F09"/>
    <w:rsid w:val="00A33FD9"/>
    <w:rsid w:val="00A40B9B"/>
    <w:rsid w:val="00A432A2"/>
    <w:rsid w:val="00A46DEB"/>
    <w:rsid w:val="00A56075"/>
    <w:rsid w:val="00A575CE"/>
    <w:rsid w:val="00A626C4"/>
    <w:rsid w:val="00A67D0D"/>
    <w:rsid w:val="00A772FE"/>
    <w:rsid w:val="00A81311"/>
    <w:rsid w:val="00A906D1"/>
    <w:rsid w:val="00A91194"/>
    <w:rsid w:val="00AA022F"/>
    <w:rsid w:val="00AB00CC"/>
    <w:rsid w:val="00AB1857"/>
    <w:rsid w:val="00AB60D3"/>
    <w:rsid w:val="00AB79F0"/>
    <w:rsid w:val="00AC1554"/>
    <w:rsid w:val="00AC59AD"/>
    <w:rsid w:val="00AC7371"/>
    <w:rsid w:val="00AC7DBA"/>
    <w:rsid w:val="00AD0FDB"/>
    <w:rsid w:val="00AD1D1D"/>
    <w:rsid w:val="00AE1C8F"/>
    <w:rsid w:val="00AF63DA"/>
    <w:rsid w:val="00B01B55"/>
    <w:rsid w:val="00B02FE7"/>
    <w:rsid w:val="00B05305"/>
    <w:rsid w:val="00B074CD"/>
    <w:rsid w:val="00B13D20"/>
    <w:rsid w:val="00B22703"/>
    <w:rsid w:val="00B22B07"/>
    <w:rsid w:val="00B25E3B"/>
    <w:rsid w:val="00B607B2"/>
    <w:rsid w:val="00B631D4"/>
    <w:rsid w:val="00B643BA"/>
    <w:rsid w:val="00B6557A"/>
    <w:rsid w:val="00B80A9D"/>
    <w:rsid w:val="00B86B98"/>
    <w:rsid w:val="00B938F0"/>
    <w:rsid w:val="00BA1DD3"/>
    <w:rsid w:val="00BB6E1F"/>
    <w:rsid w:val="00BB7D17"/>
    <w:rsid w:val="00BD6C34"/>
    <w:rsid w:val="00BD741D"/>
    <w:rsid w:val="00BE75E3"/>
    <w:rsid w:val="00C04BD9"/>
    <w:rsid w:val="00C16DCB"/>
    <w:rsid w:val="00C32C4B"/>
    <w:rsid w:val="00C33421"/>
    <w:rsid w:val="00C459AA"/>
    <w:rsid w:val="00C45FF4"/>
    <w:rsid w:val="00C5007E"/>
    <w:rsid w:val="00C54AC8"/>
    <w:rsid w:val="00C65E87"/>
    <w:rsid w:val="00C76812"/>
    <w:rsid w:val="00C806B4"/>
    <w:rsid w:val="00C825BB"/>
    <w:rsid w:val="00C851C0"/>
    <w:rsid w:val="00C8639B"/>
    <w:rsid w:val="00CA5810"/>
    <w:rsid w:val="00CB45DC"/>
    <w:rsid w:val="00CC3723"/>
    <w:rsid w:val="00CD488B"/>
    <w:rsid w:val="00CE742A"/>
    <w:rsid w:val="00CF3DD7"/>
    <w:rsid w:val="00CF4D90"/>
    <w:rsid w:val="00D04292"/>
    <w:rsid w:val="00D2651D"/>
    <w:rsid w:val="00D31C5B"/>
    <w:rsid w:val="00D34BC2"/>
    <w:rsid w:val="00D37E06"/>
    <w:rsid w:val="00D46A2E"/>
    <w:rsid w:val="00D60222"/>
    <w:rsid w:val="00D700B4"/>
    <w:rsid w:val="00D75959"/>
    <w:rsid w:val="00D81D11"/>
    <w:rsid w:val="00D82291"/>
    <w:rsid w:val="00D85508"/>
    <w:rsid w:val="00D859FF"/>
    <w:rsid w:val="00DA3828"/>
    <w:rsid w:val="00DA3D72"/>
    <w:rsid w:val="00DA4A2D"/>
    <w:rsid w:val="00DD29C0"/>
    <w:rsid w:val="00DE1B84"/>
    <w:rsid w:val="00DE40BE"/>
    <w:rsid w:val="00DF2650"/>
    <w:rsid w:val="00DF50EC"/>
    <w:rsid w:val="00DF714D"/>
    <w:rsid w:val="00E0204B"/>
    <w:rsid w:val="00E057BE"/>
    <w:rsid w:val="00E150E0"/>
    <w:rsid w:val="00E158C9"/>
    <w:rsid w:val="00E16872"/>
    <w:rsid w:val="00E34BD0"/>
    <w:rsid w:val="00E34DEF"/>
    <w:rsid w:val="00E44294"/>
    <w:rsid w:val="00E46702"/>
    <w:rsid w:val="00E5027D"/>
    <w:rsid w:val="00E53755"/>
    <w:rsid w:val="00E60C22"/>
    <w:rsid w:val="00E654D1"/>
    <w:rsid w:val="00E6732B"/>
    <w:rsid w:val="00E70007"/>
    <w:rsid w:val="00E7615C"/>
    <w:rsid w:val="00E7723D"/>
    <w:rsid w:val="00E801C9"/>
    <w:rsid w:val="00E874F6"/>
    <w:rsid w:val="00E9180F"/>
    <w:rsid w:val="00E92149"/>
    <w:rsid w:val="00E92ED2"/>
    <w:rsid w:val="00E95F19"/>
    <w:rsid w:val="00E97BA9"/>
    <w:rsid w:val="00EA0AE3"/>
    <w:rsid w:val="00EA2172"/>
    <w:rsid w:val="00EA77A4"/>
    <w:rsid w:val="00EC24B4"/>
    <w:rsid w:val="00EE74EF"/>
    <w:rsid w:val="00EF0720"/>
    <w:rsid w:val="00EF16BA"/>
    <w:rsid w:val="00F15F6B"/>
    <w:rsid w:val="00F215B4"/>
    <w:rsid w:val="00F3438C"/>
    <w:rsid w:val="00F51CB9"/>
    <w:rsid w:val="00F61AED"/>
    <w:rsid w:val="00F70F9F"/>
    <w:rsid w:val="00F7601E"/>
    <w:rsid w:val="00F85EE7"/>
    <w:rsid w:val="00F8675B"/>
    <w:rsid w:val="00F90937"/>
    <w:rsid w:val="00F91CDA"/>
    <w:rsid w:val="00F94FC1"/>
    <w:rsid w:val="00F967CD"/>
    <w:rsid w:val="00FB787D"/>
    <w:rsid w:val="00FC49CB"/>
    <w:rsid w:val="00FD36EB"/>
    <w:rsid w:val="00F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oNotEmbedSmartTags/>
  <w:decimalSymbol w:val=","/>
  <w:listSeparator w:val=";"/>
  <w14:docId w14:val="22D1BE4C"/>
  <w15:docId w15:val="{5EC7EE4E-F03C-4E2D-811F-B70A5742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before="240" w:line="360" w:lineRule="atLeast"/>
      <w:jc w:val="both"/>
    </w:pPr>
    <w:rPr>
      <w:rFonts w:ascii="Palatino" w:hAnsi="Palatino" w:cs="New York"/>
      <w:sz w:val="24"/>
      <w:lang w:val="en-US" w:eastAsia="ar-SA"/>
    </w:rPr>
  </w:style>
  <w:style w:type="paragraph" w:styleId="Ttulo2">
    <w:name w:val="heading 2"/>
    <w:basedOn w:val="Normal"/>
    <w:next w:val="Normal"/>
    <w:link w:val="Ttulo2Car"/>
    <w:qFormat/>
    <w:rsid w:val="0047034B"/>
    <w:pPr>
      <w:keepNext/>
      <w:suppressAutoHyphens w:val="0"/>
      <w:spacing w:before="0" w:line="240" w:lineRule="auto"/>
      <w:jc w:val="left"/>
      <w:outlineLvl w:val="1"/>
    </w:pPr>
    <w:rPr>
      <w:rFonts w:ascii="Arial" w:hAnsi="Arial" w:cs="Times New Roman"/>
      <w:b/>
      <w:sz w:val="14"/>
      <w:lang w:val="es-ES_tradnl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034B"/>
    <w:pPr>
      <w:keepNext/>
      <w:spacing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Paragrafoarenletra-tipolehenetsia1">
    <w:name w:val="Paragrafoaren letra-tipo lehenetsia1"/>
  </w:style>
  <w:style w:type="character" w:styleId="Nmerodepgina">
    <w:name w:val="page number"/>
    <w:basedOn w:val="Paragrafoarenletra-tipolehenetsia1"/>
  </w:style>
  <w:style w:type="paragraph" w:customStyle="1" w:styleId="Izenburua">
    <w:name w:val="Izenburua"/>
    <w:basedOn w:val="Normal"/>
    <w:next w:val="Textoindependiente"/>
    <w:pPr>
      <w:keepNext/>
      <w:spacing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pPr>
      <w:spacing w:before="360" w:line="480" w:lineRule="auto"/>
    </w:pPr>
    <w:rPr>
      <w:sz w:val="20"/>
      <w:lang w:val="es-ES_tradnl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zea">
    <w:name w:val="Indizea"/>
    <w:basedOn w:val="Normal"/>
    <w:pPr>
      <w:suppressLineNumbers/>
    </w:pPr>
    <w:rPr>
      <w:rFonts w:cs="Mangal"/>
    </w:rPr>
  </w:style>
  <w:style w:type="paragraph" w:styleId="Textonotaalfinal">
    <w:name w:val="endnote text"/>
    <w:basedOn w:val="Normal"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Bulet-zerrenda1">
    <w:name w:val="Bulet-zerrenda1"/>
    <w:basedOn w:val="Normal"/>
    <w:pPr>
      <w:numPr>
        <w:numId w:val="1"/>
      </w:numPr>
    </w:pPr>
  </w:style>
  <w:style w:type="paragraph" w:customStyle="1" w:styleId="Default">
    <w:name w:val="Default"/>
    <w:rsid w:val="00AE1C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link w:val="Ttulo2"/>
    <w:rsid w:val="0047034B"/>
    <w:rPr>
      <w:rFonts w:ascii="Arial" w:hAnsi="Arial"/>
      <w:b/>
      <w:sz w:val="14"/>
      <w:lang w:val="es-ES_tradnl" w:eastAsia="es-ES_tradnl"/>
    </w:rPr>
  </w:style>
  <w:style w:type="character" w:customStyle="1" w:styleId="EncabezadoCar">
    <w:name w:val="Encabezado Car"/>
    <w:link w:val="Encabezado"/>
    <w:rsid w:val="0047034B"/>
    <w:rPr>
      <w:rFonts w:ascii="Palatino" w:hAnsi="Palatino" w:cs="New York"/>
      <w:sz w:val="24"/>
      <w:lang w:val="en-US" w:eastAsia="ar-SA"/>
    </w:rPr>
  </w:style>
  <w:style w:type="character" w:customStyle="1" w:styleId="Ttulo4Car">
    <w:name w:val="Título 4 Car"/>
    <w:link w:val="Ttulo4"/>
    <w:uiPriority w:val="9"/>
    <w:semiHidden/>
    <w:rsid w:val="0047034B"/>
    <w:rPr>
      <w:rFonts w:ascii="Calibri" w:eastAsia="Times New Roman" w:hAnsi="Calibri" w:cs="Times New Roman"/>
      <w:b/>
      <w:bCs/>
      <w:sz w:val="28"/>
      <w:szCs w:val="28"/>
      <w:lang w:val="en-US" w:eastAsia="ar-SA"/>
    </w:rPr>
  </w:style>
  <w:style w:type="character" w:styleId="Hipervnculo">
    <w:name w:val="Hyperlink"/>
    <w:uiPriority w:val="99"/>
    <w:unhideWhenUsed/>
    <w:rsid w:val="001B53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6E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656E7"/>
    <w:rPr>
      <w:rFonts w:ascii="Tahoma" w:hAnsi="Tahoma" w:cs="Tahoma"/>
      <w:sz w:val="16"/>
      <w:szCs w:val="16"/>
      <w:lang w:val="en-US" w:eastAsia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41B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60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73D8E54BF0A419C4651AED5B07129" ma:contentTypeVersion="15" ma:contentTypeDescription="Create a new document." ma:contentTypeScope="" ma:versionID="ee97c8c0670e1516cf3c1afc631520af">
  <xsd:schema xmlns:xsd="http://www.w3.org/2001/XMLSchema" xmlns:xs="http://www.w3.org/2001/XMLSchema" xmlns:p="http://schemas.microsoft.com/office/2006/metadata/properties" xmlns:ns2="5d206992-e0ad-48dd-a4ad-9cf2755ecd0c" xmlns:ns3="bded6656-0be5-4962-b956-3e85122a9e8e" targetNamespace="http://schemas.microsoft.com/office/2006/metadata/properties" ma:root="true" ma:fieldsID="556bdbd12e63bf7fe12e818c05c504db" ns2:_="" ns3:_="">
    <xsd:import namespace="5d206992-e0ad-48dd-a4ad-9cf2755ecd0c"/>
    <xsd:import namespace="bded6656-0be5-4962-b956-3e85122a9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6992-e0ad-48dd-a4ad-9cf2755ec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d6656-0be5-4962-b956-3e85122a9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0e39f4-a3fe-41db-acd3-4ed2fa1920ff}" ma:internalName="TaxCatchAll" ma:showField="CatchAllData" ma:web="bded6656-0be5-4962-b956-3e85122a9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206992-e0ad-48dd-a4ad-9cf2755ecd0c">
      <Terms xmlns="http://schemas.microsoft.com/office/infopath/2007/PartnerControls"/>
    </lcf76f155ced4ddcb4097134ff3c332f>
    <TaxCatchAll xmlns="bded6656-0be5-4962-b956-3e85122a9e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B1DFF-8087-46BA-9195-7BCB86A130C4}"/>
</file>

<file path=customXml/itemProps2.xml><?xml version="1.0" encoding="utf-8"?>
<ds:datastoreItem xmlns:ds="http://schemas.openxmlformats.org/officeDocument/2006/customXml" ds:itemID="{08E7CE6F-D8B5-4C41-A56E-ED28A3F66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541E2-B580-4E27-8EA2-D01E12A9FBE2}">
  <ds:schemaRefs>
    <ds:schemaRef ds:uri="http://purl.org/dc/dcmitype/"/>
    <ds:schemaRef ds:uri="http://schemas.openxmlformats.org/package/2006/metadata/core-properties"/>
    <ds:schemaRef ds:uri="5d206992-e0ad-48dd-a4ad-9cf2755ecd0c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bded6656-0be5-4962-b956-3e85122a9e8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D3602D-FD96-4812-89FC-A10E1E1C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694</Words>
  <Characters>3820</Characters>
  <Application>Microsoft Office Word</Application>
  <DocSecurity>0</DocSecurity>
  <Lines>31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Gobernanza Pública y Autogobierno</vt:lpstr>
      <vt:lpstr>Gobernanza Pública y Autogobierno</vt:lpstr>
    </vt:vector>
  </TitlesOfParts>
  <Company>Eusko Jaurlaritza - Gobierno Vasco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Gobernanza Pública y Autogobierno</dc:title>
  <dc:subject>Mantenimiento aplicaciones</dc:subject>
  <dc:creator>ej12605e</dc:creator>
  <dc:description>Enviado por Departamento: Junio de 2009
Solicitud de desarrollo de fórmula Puntos Función
Re-envío por Departamento:———-</dc:description>
  <cp:lastModifiedBy>Pérez Eguiluz, Oier</cp:lastModifiedBy>
  <cp:revision>6</cp:revision>
  <cp:lastPrinted>2021-07-02T11:34:00Z</cp:lastPrinted>
  <dcterms:created xsi:type="dcterms:W3CDTF">2022-12-16T12:48:00Z</dcterms:created>
  <dcterms:modified xsi:type="dcterms:W3CDTF">2022-12-22T07:44:00Z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0x01010048D73D8E54BF0A419C4651AED5B07129</vt:lpwstr>
  </property>
  <property fmtid="{D5CDD505-2E9C-101B-9397-08002B2CF9AE}" pid="4" name="Departamento / Saila">
    <vt:lpwstr>Cultura</vt:lpwstr>
  </property>
  <property fmtid="{D5CDD505-2E9C-101B-9397-08002B2CF9AE}" pid="5" name="MediaServiceImageTags">
    <vt:lpwstr/>
  </property>
</Properties>
</file>